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PKDBSa — Aufgaben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Vorstand führt die Verwaltung der Kasse nach den Vorschriften dieser Satzung unter eigener Verantwortung. Er vertritt die Kasse gerichtlich und außergerichtlich und führt seinen Ausweis durch eine Bescheinigung der Aufsichtsbehörde. Alle Erklärungen sind für die Kasse verbindlich, wenn sie von zwei Vorstandsmitgliedern schriftlich abgegeben werden.</w:t>
      </w:r>
    </w:p>
    <w:p>
      <w:r>
        <w:t xml:space="preserve">(2) Der Vorstand kann mit Genehmigung des Kuratoriums Angestellten der Kasse Vertretungsvollmacht in der Weise erteilen, dass sie gemeinschaftlich mit einem Vorstandsmitglied verpflichtende Erklärungen für die Kasse abgeben können.</w:t>
      </w:r>
    </w:p>
    <w:p>
      <w:r>
        <w:rPr>
          <w:color w:val="555555"/>
          <w:sz w:val="17"/>
        </w:rPr>
        <w:t xml:space="preserve">Zitiervorschlag: § 51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