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PKDBSa — Aufgaben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Das Kuratorium hat den Vorstand in allen Zweigen der Verwaltung zu überwachen und sich von dem Gang der Angelegenheiten der Kasse laufend zu unterrichten. Es kann jederzeit Berichterstattung von dem Vorstand verlangen und durch den Vorsitzenden oder einzelne von ihm zu bestimmende Mitglieder die Bücher, Akten und Rechnungen der Kasse einsehen und den Kassenstand prüfen.</w:t>
      </w:r>
    </w:p>
    <w:p>
      <w:r>
        <w:t xml:space="preserve">(2) Außerdem ist es Aufgabe des Kuratoriums,</w:t>
      </w:r>
    </w:p>
    <w:p>
      <w:pPr>
        <w:ind w:left="420"/>
      </w:pPr>
      <w:r>
        <w:t xml:space="preserve">1. Satzungsänderungen zu beschließen, die nur die Fassung betreffen oder die von der Aufsichtsbehörde verlangt werden,</w:t>
      </w:r>
    </w:p>
    <w:p>
      <w:pPr>
        <w:ind w:left="420"/>
      </w:pPr>
      <w:r>
        <w:t xml:space="preserve">2. jährlich einen Haushalt der voraussichtlich zu leistenden Verwaltungsausgaben (Personalausgaben und sächliche Verwaltungsausgaben) für das folgende Geschäftsjahr aufzustellen und bei Bedarf durch Nachträge zu ergänzen,</w:t>
      </w:r>
    </w:p>
    <w:p>
      <w:pPr>
        <w:ind w:left="420"/>
      </w:pPr>
      <w:r>
        <w:t xml:space="preserve">3. den Jahresabschluss zu prüfen,</w:t>
      </w:r>
    </w:p>
    <w:p>
      <w:pPr>
        <w:ind w:left="420"/>
      </w:pPr>
      <w:r>
        <w:t xml:space="preserve">4. allgemeine Verwaltungsgrundsätze und allgemeine Grundsätze zur Bewirtschaftung des Haushaltes aufzustellen,</w:t>
      </w:r>
    </w:p>
    <w:p>
      <w:pPr>
        <w:ind w:left="420"/>
      </w:pPr>
      <w:r>
        <w:t xml:space="preserve">5. über Berufungen gegen Entscheidungen des Vorstandes zu entscheiden,</w:t>
      </w:r>
    </w:p>
    <w:p>
      <w:pPr>
        <w:ind w:left="420"/>
      </w:pPr>
      <w:r>
        <w:t xml:space="preserve">6. die Vergütung und die Aufwandsentschädigung der nebenamtlichen Vorstandsmitglieder festzusetzen,</w:t>
      </w:r>
    </w:p>
    <w:p>
      <w:pPr>
        <w:ind w:left="420"/>
      </w:pPr>
      <w:r>
        <w:t xml:space="preserve">7. über den Vertrag zu entscheiden, durch den das Rechtsverhältnis des hauptamtlichen Vorstandsmitgliedes geregelt wird; die Entscheidung kann einem aus mindestens 4 Mitgliedern bestehenden Personalausschuss, dem der Vorsitzende und der stellvertretende Vorsitzende des Kuratoriums angehören müssen, übertragen werden,</w:t>
      </w:r>
    </w:p>
    <w:p>
      <w:pPr>
        <w:ind w:left="420"/>
      </w:pPr>
      <w:r>
        <w:t xml:space="preserve">8. über die Bestellung und die Abberufung des Treuhänders und des Stellvertreters des Treuhänders nach §§ 70 bis 76 VAG zu entscheiden,</w:t>
      </w:r>
    </w:p>
    <w:p>
      <w:pPr>
        <w:ind w:left="420"/>
      </w:pPr>
      <w:r>
        <w:t xml:space="preserve">9. die Zustimmung zur Bestellung und zur Abberufung des Verantwortlichen Aktuars (§ 11a VAG) durch den Vorstand zu erteilen,</w:t>
      </w:r>
    </w:p>
    <w:p>
      <w:pPr>
        <w:ind w:left="420"/>
      </w:pPr>
      <w:r>
        <w:t xml:space="preserve">10. die Entscheidungen gemäß § 3 Abs. 2 und 3, § 4 Abs. 5, § 5 Abs. 1, § 6 Abs. 1, Abs. 3 und Abs. 6, § 7 Abs. 3, § 17, § 20b, § 21 Abs. 3, § 29g, § 46 Abs. 3, § 50 Abs. 1, § 51 Abs. 2, § 53, § 62 Abs. 3 und § 65 Abs. 2 zu treffen.</w:t>
      </w:r>
    </w:p>
    <w:p>
      <w:r>
        <w:t xml:space="preserve">(3) Satzungsänderungen bedürfen zu ihrer Wirksamkeit der Genehmigung der Aufsichtsbehörde.</w:t>
      </w:r>
    </w:p>
    <w:p>
      <w:r>
        <w:t xml:space="preserve">(4) Satzungsänderungen sind durch Rundschreiben der Kasse an alle beteiligten Arbeitgeber und Arbeitnehmervertretungen bekannt zu machen.</w:t>
      </w:r>
    </w:p>
    <w:p>
      <w:r>
        <w:rPr>
          <w:color w:val="555555"/>
          <w:sz w:val="17"/>
        </w:rPr>
        <w:t xml:space="preserve">Zitiervorschlag: § 48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