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PKDBSa — Leitung</w:t>
      </w:r>
    </w:p>
    <w:p>
      <w:r>
        <w:rPr>
          <w:color w:val="555555"/>
          <w:sz w:val="18"/>
        </w:rPr>
        <w:t xml:space="preserve">Satzung der Pensionskasse Deutscher Eisenbahnen und Straßenbahnen VVaG Köln (Anlage zur Verordnung über die Feststellung der Satzung der Pensionskasse Deutscher Eisenbahnen und Straßenbahnen VVaG)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Vorsitzende des Kuratoriums oder dessen Stellvertreter oder ein anderes Mitglied des Kuratoriums leitet die Hauptversammlung.</w:t>
      </w:r>
    </w:p>
    <w:p>
      <w:r>
        <w:t xml:space="preserve">(2) Über die Versammlung ist eine Niederschrift anzufertigen, die von dem Leiter der Hauptversammlung und einem Kuratoriumsmitglied zu unterzeichnen ist.</w:t>
      </w:r>
    </w:p>
    <w:p>
      <w:r>
        <w:rPr>
          <w:color w:val="555555"/>
          <w:sz w:val="17"/>
        </w:rPr>
        <w:t xml:space="preserve">Zitiervorschlag: § 45 PKDBSa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https://recht.nulegal.eu/gesetze/PKDBSa/45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