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PKDBSa — Aufgaben</w:t>
      </w:r>
    </w:p>
    <w:p>
      <w:r>
        <w:rPr>
          <w:color w:val="555555"/>
          <w:sz w:val="18"/>
        </w:rPr>
        <w:t xml:space="preserve">Satzung der Pensionskasse Deutscher Eisenbahnen und Straßenbahnen VVaG Köln (Anlage zur Verordnung über die Feststellung der Satzung der Pensionskasse Deutscher Eisenbahnen und Straßenbahnen VVaG)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Hauptversammlung ist vorbehalten</w:t>
      </w:r>
    </w:p>
    <w:p>
      <w:pPr>
        <w:ind w:left="420"/>
      </w:pPr>
      <w:r>
        <w:t xml:space="preserve">1. die Wahl und die Abberufung der Mitglieder des Kuratoriums und ihrer Stellvertreter,</w:t>
      </w:r>
    </w:p>
    <w:p>
      <w:pPr>
        <w:ind w:left="420"/>
      </w:pPr>
      <w:r>
        <w:t xml:space="preserve">2. die Feststellung des Jahresabschlusses sowie die Entlastung der Mitglieder des Kuratoriums und des Vorstandes,</w:t>
      </w:r>
    </w:p>
    <w:p>
      <w:pPr>
        <w:ind w:left="420"/>
      </w:pPr>
      <w:r>
        <w:t xml:space="preserve">3. die Beschlussfassung über Satzungsänderungen, soweit diese nicht in § 48 dem Kuratorium zugewiesen sind,</w:t>
      </w:r>
    </w:p>
    <w:p>
      <w:pPr>
        <w:ind w:left="420"/>
      </w:pPr>
      <w:r>
        <w:t xml:space="preserve">4. die Beschlussfassung über die Auflösung der Kasse,</w:t>
      </w:r>
    </w:p>
    <w:p>
      <w:pPr>
        <w:ind w:left="420"/>
      </w:pPr>
      <w:r>
        <w:t xml:space="preserve">5. die Beschlussfassung über Aufwandsentschädigungen der Mitglieder des Kuratoriums gemäß § 54 Abs. 2 Satz 1 und 2,</w:t>
      </w:r>
    </w:p>
    <w:p>
      <w:pPr>
        <w:ind w:left="420"/>
      </w:pPr>
      <w:r>
        <w:t xml:space="preserve">6. die in dieser Satzung erwähnten Zinssätze festzulegen.</w:t>
      </w:r>
    </w:p>
    <w:p>
      <w:r>
        <w:t xml:space="preserve">(2) Satzungsänderungen, durch die die Höhe der Beiträge oder der Kassenleistungen sowie die Voraussetzungen für die Zahlung der Kassenleistungen verändert werden, haben auch für bereits bestehende Versicherungsverhältnisse Gültigkeit.</w:t>
      </w:r>
    </w:p>
    <w:p>
      <w:r>
        <w:t xml:space="preserve">(3) Satzungsänderungen sind durch Rundschreiben der Kasse an alle beteiligten Arbeitgeber und Arbeitnehmervertretungen bekannt zu machen.</w:t>
      </w:r>
    </w:p>
    <w:p>
      <w:r>
        <w:t xml:space="preserve">(4) Satzungsänderungen bedürfen zu ihrer Wirksamkeit der Genehmigung der Aufsichtsbehörde.</w:t>
      </w:r>
    </w:p>
    <w:p>
      <w:r>
        <w:rPr>
          <w:color w:val="555555"/>
          <w:sz w:val="17"/>
        </w:rPr>
        <w:t xml:space="preserve">Zitiervorschlag: § 43 PKDBSa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https://recht.nulegal.eu/gesetze/PKDBSa/43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