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PKDBSa — Zusammensetzung und Wahl</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Die Hauptversammlung ist das oberste Organ der Kasse. Sie besteht aus Vertretern der Arbeitgeber und der Arbeitnehmer.</w:t>
      </w:r>
    </w:p>
    <w:p>
      <w:r>
        <w:t xml:space="preserve">(2) Die Arbeitgeber werden durch ein Mitglied ihres Vorstandes bzw. ihrer Geschäftsführung vertreten; sie können jedoch auch leitende Angestellte mit ihrer Vertretung beauftragen. Wird der Betrieb eines beteiligten Arbeitgebers von einem anderen Arbeitgeber geführt, so kann auch ein Vorstandsmitglied oder ein leitender Angestellter des betriebsführenden Arbeitgebers den beteiligten Arbeitgeber vertreten. Der Vertreter bedarf einer besonderen Vollmacht, wenn er nicht zur Alleinvertretung des Arbeitgebers berechtigt ist. Eine Übertragung des Stimmrechts auf Vertreter anderer beteiligter Arbeitgeber ist möglich.</w:t>
      </w:r>
    </w:p>
    <w:p>
      <w:r>
        <w:t xml:space="preserve">(3) Die Arbeitnehmer werden durch den Vorsitzenden des Arbeitnehmerausschusses oder den Obmann oder deren Stellvertreter vertreten. Eine Übertragung des Stimmrechts auf Arbeitnehmervertreter anderer beteiligter Arbeitgeber ist möglich.</w:t>
      </w:r>
    </w:p>
    <w:p>
      <w:r>
        <w:t xml:space="preserve">(4) Die Arbeitgeber sind verpflichtet, die Namen der Arbeitgeber- und Arbeitnehmervertreter spätestens zwei Wochen vor der Hauptversammlung dem Vorstand anzuzeigen und die etwa erforderlichen Vollmachten einzureichen. Nicht rechtzeitig gemeldete Vertreter können von der Hauptversammlung ausgeschlossen werden.</w:t>
      </w:r>
    </w:p>
    <w:p>
      <w:r>
        <w:rPr>
          <w:color w:val="555555"/>
          <w:sz w:val="17"/>
        </w:rPr>
        <w:t xml:space="preserve">Zitiervorschlag: § 42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