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34a PKDBSa — Auskunftsanspruch des Arbeitnehmers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Kasse hat einem versicherten Arbeitnehmer bei einem berechtigten Interesse auf dessen Verlangen schriftlich mitzuteilen,</w:t>
      </w:r>
    </w:p>
    <w:p>
      <w:pPr>
        <w:ind w:left="420"/>
      </w:pPr>
      <w:r>
        <w:t xml:space="preserve">1. in welcher Höhe aus der bisher erworbenen unverfallbaren Anwartschaft bei Erreichen der in der Versorgungsregelung vorgesehenen Altersgrenze ein Anspruch auf Altersversorgung besteht und</w:t>
      </w:r>
    </w:p>
    <w:p>
      <w:pPr>
        <w:ind w:left="420"/>
      </w:pPr>
      <w:r>
        <w:t xml:space="preserve">2. sofern die Altersversorgungszusage nach dem 31. Dezember 2004 erteilt wurde, wie hoch bei einer Übertragung der Anwartschaft nach § 37b der Übertragungswert ist.</w:t>
      </w:r>
    </w:p>
    <w:p>
      <w:r>
        <w:t xml:space="preserve">(2) Die Kasse hat einem versicherten Arbeitnehmer auf dessen Verlangen schriftlich mitzuteilen, in welcher Höhe aus einem Übertragungswert, dessen Übertragung auf die Kasse der Arbeitnehmer gemäß § 4 Abs. 3 des Gesetzes zur Verbesserung der betrieblichen Altersversorgung (BetrAVG) von einem früheren Arbeitgeber oder dessen Versorgungsträger verlangen kann, bei der Kasse ein Anspruch auf Altersversorgung und ob eine Invaliditäts- oder Hinterbliebenenversorgung bestehen würde. Der Auskunftsanspruch entfällt, wenn die Beendigung des Arbeitsverhältnisses bei dem ehemaligen Arbeitgeber mehr als ein Jahr zurückliegt.</w:t>
      </w:r>
    </w:p>
    <w:p>
      <w:r>
        <w:rPr>
          <w:color w:val="555555"/>
          <w:sz w:val="17"/>
        </w:rPr>
        <w:t xml:space="preserve">Zitiervorschlag: § 34a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https://recht.nulegal.eu/gesetze/PKDBSa/34a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