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PKDBSa — Anzeige-, Abtretungs- und Auskunftspflichten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Versicherten (§ 2b Abs. 2) und ihre anspruchsberechtigten Hinterbliebenen haben die Einnahmen und sonstigen Umstände, die auf die Höhe ihrer Kassenleistungen Einfluss haben, der Kasse unverzüglich mitzuteilen. Kommen sie dieser Verpflichtung nicht nach oder geben sie ihr Einkommen vorsätzlich oder grob fahrlässig zu niedrig an, so können ihnen die Kassenleistungen ganz oder teilweise auf Zeit oder Dauer entzogen werden.</w:t>
      </w:r>
    </w:p>
    <w:p>
      <w:r>
        <w:t xml:space="preserve">(2) Steht den Versicherten oder ihren versorgungsberechtigten Hinterbliebenen infolge eines Ereignisses, das die Kasse zur Gewährung oder Erhöhung von Leistungen verpflichtet, gegen Dritte ein gesetzlicher Schadensersatzanspruch zu, so hat der Berechtigte seinen Anspruch bis zur Höhe der von der Kasse zu gewährenden Leistungen an diese abzutreten. Geschieht dieses nicht, so kann die Kasse die Leistungen entsprechend kürzen.</w:t>
      </w:r>
    </w:p>
    <w:p>
      <w:r>
        <w:t xml:space="preserve">(3) Die Versicherten und ihre anspruchsberechtigten Hinterbliebenen sind ferner verpflichtet, innerhalb einer von der Kasse zu setzenden Frist auf Anforderung der Kasse Auskünfte zu erteilen und Nachweise sowie Lebensbescheinigungen vorzulegen sowie unaufgefordert jede Verlegung ihres Wohnsitzes unverzüglich mitzuteilen.</w:t>
      </w:r>
    </w:p>
    <w:p>
      <w:r>
        <w:rPr>
          <w:color w:val="555555"/>
          <w:sz w:val="17"/>
        </w:rPr>
        <w:t xml:space="preserve">Zitiervorschlag: § 34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