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29e PKDBSa — Anpassung der Verrentungstabellen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für die Verrentung der Beiträge in der Abteilung Z 2002 maßgeblichen Tabellen 1a, 1b, 2, 3a, 3b und 4 (Anhang) sowie die Tabelle für Zuschläge wegen späteren Rentenbeginns gemäß § 29b Abs. 4 werden von der Kasse in regelmäßigen Abständen von zwölf Jahren an die veränderten versicherungsmathematischen Gegebenheiten (z. B. neue Sterbetafeln usw.) angepasst; die Anpassung der Tabellen erfolgt erstmals mit Wirkung für Beiträge, die ab dem 1. Januar 2014 geleistet werden. Die Inkraftsetzung der neuen Tabellen bedarf der Genehmigung der Aufsichtsbehörde.</w:t>
      </w:r>
    </w:p>
    <w:p>
      <w:r>
        <w:t xml:space="preserve">(2) Wird auf Grund einer Gesetzesänderung oder auf Grund höchstrichterlicher Rechtsprechung ein nach dem Geschlecht des Versicherten differenzierter Tarif für rechtlich unzulässig erklärt, ist die Kasse mit Genehmigung der Aufsichtsbehörde berechtigt, den für unzulässig erklärten Tarif durch einen für beide Geschlechter gültigen Einheitstarif zu ersetzen; soweit das Gesetz oder die Rechtsprechung Rückwirkung entfaltet, ist dieser genehmigte Einheitstarif auch rückwirkend anwendbar. Für bereits laufende Rentenverhältnisse bleibt es aus Vertrauensschutzgesichtspunkten bei der bewilligten Rentenhöhe.</w:t>
      </w:r>
    </w:p>
    <w:p>
      <w:r>
        <w:rPr>
          <w:color w:val="555555"/>
          <w:sz w:val="17"/>
        </w:rPr>
        <w:t xml:space="preserve">Zitiervorschlag: § 29e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