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PKDBSa — Übertragung externer Übertragungswerte auf die Kasse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Paragrafen gelten nur</w:t>
      </w:r>
    </w:p>
    <w:p>
      <w:pPr>
        <w:ind w:left="420"/>
      </w:pPr>
      <w:r>
        <w:t xml:space="preserve">a) für unverfallbare Altersversorgungszusagen, die bei einem nicht an der Kasse beteiligten früheren Arbeitgeber nach dem 31. Dezember 2004 erteilt wurden, und</w:t>
      </w:r>
    </w:p>
    <w:p>
      <w:pPr>
        <w:ind w:left="420"/>
      </w:pPr>
      <w:r>
        <w:t xml:space="preserve">b) nur für Arbeitnehmer, die nach dem 31. Dezember 2005 durch einen an der Kasse beteiligten Arbeitgeber in der Abteilung A 2000 versichert werden.</w:t>
      </w:r>
    </w:p>
    <w:p>
      <w:r>
        <w:t xml:space="preserve">(2) Soweit der Arbeitnehmer nach § 4 Abs. 3 des Gesetzes zur Verbesserung der betrieblichen Altersversorgung (BetrAVG) einen Rechtsanspruch gegen seinen früheren Arbeitgeber bzw. dessen Versorgungsträger auf Übertragung des Übertragungswerts (§ 4 Abs. 5 BetrAVG) hat und der an der Kasse beteiligte neue Arbeitgeber verpflichtet ist, eine dem Übertragungswert wertgleiche Zusage zu erteilen, kann diese über die Kasse durchgeführt werden.</w:t>
      </w:r>
    </w:p>
    <w:p>
      <w:r>
        <w:t xml:space="preserve">(3) Die Durchführung der Übertragung erfolgt nur auf gemeinsamen schriftlichen Antrag des Arbeitnehmers und des an der Kasse beteiligten neuen Arbeitgebers und bedarf der schriftlichen Zustimmung der Kasse.</w:t>
      </w:r>
    </w:p>
    <w:p>
      <w:r>
        <w:t xml:space="preserve">(4) Die Übertragung auf die Kasse wird vollzogen durch vollständige Einzahlung des Übertragungswert-Betrages (§ 4 Abs. 5 BetrAVG) auf ein von der Kasse bestimmtes Konto.</w:t>
      </w:r>
    </w:p>
    <w:p>
      <w:r>
        <w:t xml:space="preserve">(5) Der nach Absatz 4 eingezahlte Betrag wird hinsichtlich seiner Verrentung einheitlich mit dem Steigerungsbetrag gemäß § 24 Abs. 2 bewertet, der für das Lebensjahr maßgeblich ist, das der Versicherte in dem Kalenderjahr beginnt, in dem der Betrag auf dem Konto der Kasse eingeht.</w:t>
      </w:r>
    </w:p>
    <w:p>
      <w:r>
        <w:t xml:space="preserve">(6) Für die sich aus der Einzahlung nach Absatz 5 ergebende neue Anwartschaft gelten die Regelungen über Entgeltumwandlung entsprechend.</w:t>
      </w:r>
    </w:p>
    <w:p>
      <w:r>
        <w:rPr>
          <w:color w:val="555555"/>
          <w:sz w:val="17"/>
        </w:rPr>
        <w:t xml:space="preserve">Zitiervorschlag: § 28a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