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PKDBSa — Sonstige Vorschriften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14 sowie § 20a, § 20b, § 20c, § 20d und § 20e gelten entsprechend.</w:t>
      </w:r>
    </w:p>
    <w:p>
      <w:r>
        <w:t xml:space="preserve">(2) § 15 gilt entsprechend mit der Abweichung, dass jeweils an die Stelle des 65. Lebensjahres das 60. Lebensjahr tritt und anstelle des Versicherungsfalles nach § 12 der Versicherungsfall nach § 23 tritt.</w:t>
      </w:r>
    </w:p>
    <w:p>
      <w:r>
        <w:rPr>
          <w:color w:val="555555"/>
          <w:sz w:val="17"/>
        </w:rPr>
        <w:t xml:space="preserve">Zitiervorschlag: § 27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