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21a PKDBSa — Altersvorsorgezulage</w:t>
      </w:r>
    </w:p>
    <w:p>
      <w:r>
        <w:rPr>
          <w:color w:val="555555"/>
          <w:sz w:val="18"/>
        </w:rPr>
        <w:t xml:space="preserve">Satzung der Pensionskasse Deutscher Eisenbahnen und Straßenbahnen VVaG Köln (Anlage zur Verordnung über die Feststellung der Satzung der Pensionskasse Deutscher Eisenbahnen und Straßenbahnen VVaG)</w:t>
      </w:r>
    </w:p>
    <w:p>
      <w:r>
        <w:rPr>
          <w:color w:val="555555"/>
          <w:sz w:val="18"/>
        </w:rPr>
        <w:t xml:space="preserve">Stand: 10.06.2019 (konsolidierte Textfassung, kein amtliches Inkrafttretensdatum)</w:t>
      </w:r>
    </w:p>
    <w:p>
      <w:r>
        <w:t xml:space="preserve">(1) Bezüglich der staatlichen Förderung eines kapitalgedeckten Altersvorsorgevermögens gelten die für die Durchführungsform der Pensionskasse maßgeblichen gesetzlichen Vorschriften in ihrer jeweils gültigen Fassung.</w:t>
      </w:r>
    </w:p>
    <w:p>
      <w:r>
        <w:t xml:space="preserve">(2) Soweit für die zur Abteilung A erbrachten Eigenbeiträge der Arbeitnehmer nach § 82 Abs. 2 EStG Anspruch auf Altersvorsorgezulage (§§ 79 ff. EStG) besteht, gelten die hierfür maßgeblichen gesetzlichen Vorschriften in ihrer jeweils gültigen Fassung.</w:t>
      </w:r>
    </w:p>
    <w:p>
      <w:r>
        <w:t xml:space="preserve">(3) Der Arbeitnehmer ist verpflichtet, der Kasse rechtzeitig die nach den gesetzlichen Vorschriften für die Bearbeitung des Antrags auf Altersvorsorgezulage erforderlichen Daten in der von der Kasse vorgeschriebenen Form zu machen, soweit die Kasse nicht selbst über diese Daten verfügt.</w:t>
      </w:r>
    </w:p>
    <w:p>
      <w:r>
        <w:t xml:space="preserve">(4) Das Kuratorium der Kasse kann festlegen, dass die beteiligten Arbeitgeber für die bei ihnen beschäftigten Arbeitnehmer die Pflichten nach Absatz 3 ganz oder teilweise gegenüber der Kasse zu erfüllen haben, soweit dies die verwaltungsmäßige Abwicklung erleichtert.</w:t>
      </w:r>
    </w:p>
    <w:p>
      <w:r>
        <w:t xml:space="preserve">(5) Der Arbeitnehmer erhält von der Kasse jährlich eine Bescheinigung nach § 92 EStG mit den in dieser Vorschrift festgelegten Angaben.</w:t>
      </w:r>
    </w:p>
    <w:p>
      <w:r>
        <w:t xml:space="preserve">(6) Die Kasse ist verpflichtet, die sich aus den §§ 79 bis 99 EStG ergebenden Pflichten des Anbieters zu erfüllen.</w:t>
      </w:r>
    </w:p>
    <w:p>
      <w:r>
        <w:t xml:space="preserve">(7) Die Kasse ist nicht verpflichtet, die Arbeitnehmer über die im Einzelfall steuer- und sozialversicherungsrechtlich günstigste Gestaltung ihrer Altersvorsorge zu beraten.</w:t>
      </w:r>
    </w:p>
    <w:p>
      <w:r>
        <w:rPr>
          <w:color w:val="555555"/>
          <w:sz w:val="17"/>
        </w:rPr>
        <w:t xml:space="preserve">Zitiervorschlag: § 21a PKDBSa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https://recht.nulegal.eu/gesetze/PKDBSa/21a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