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20a PKDBSa — Abfindung</w:t>
      </w:r>
    </w:p>
    <w:p>
      <w:r>
        <w:rPr>
          <w:color w:val="555555"/>
          <w:sz w:val="18"/>
        </w:rPr>
        <w:t xml:space="preserve">Satzung der Pensionskasse Deutscher Eisenbahnen und Straßenbahnen VVaG Köln (Anlage zur Verordnung über die Feststellung der Satzung der Pensionskasse Deutscher Eisenbahnen und Straßenbahnen VVaG)</w:t>
      </w:r>
    </w:p>
    <w:p>
      <w:r>
        <w:rPr>
          <w:color w:val="555555"/>
          <w:sz w:val="18"/>
        </w:rPr>
        <w:t xml:space="preserve">Stand: 10.06.2019 (konsolidierte Textfassung, kein amtliches Inkrafttretensdatum)</w:t>
      </w:r>
    </w:p>
    <w:p>
      <w:r>
        <w:t xml:space="preserve">(1) Auf gemeinsamen schriftlichen Antrag des Arbeitnehmers und des Arbeitgebers findet die Kasse im Falle der Beendigung des Arbeitsverhältnisses unverfallbare Anwartschaften durch Kapitalabfindung ab, wenn der monatliche Zahlbetrag der aus der Anwartschaft resultierenden Rente bei Erreichen der vorgesehenen Altersgrenze 1 v. H. der monatlichen Bezugsgröße nach § 18 des Vierten Buches Sozialgesetzbuch (SGB IV) *) nicht übersteigt; die Abfindung ist ausgeschlossen, wenn der versicherte Arbeitnehmer von seinem Recht auf Übertragung der Anwartschaft (§ 37b) Gebrauch gemacht hat.</w:t>
      </w:r>
    </w:p>
    <w:p>
      <w:r>
        <w:t xml:space="preserve">(2) Auf schriftlichen Antrag des Rentenberechtigten findet die Kasse laufende Renten durch Kapitalabfindung ab, wenn der monatliche Zahlbetrag 1 v. H. der monatlichen Bezugsgröße nach § 18 des Vierten Buches Sozialgesetzbuch (SGB IV) *) nicht übersteigt.</w:t>
      </w:r>
    </w:p>
    <w:p>
      <w:r>
        <w:t xml:space="preserve">(3) Eine Anwartschaft ist von der Kasse auf schriftliches Verlangen des Arbeitnehmers abzufinden, wenn die Beiträge zur gesetzlichen Rentenversicherung erstattet worden sind; dem Verlangen ist ein entsprechender Nachweis beizufügen.</w:t>
      </w:r>
    </w:p>
    <w:p>
      <w:r>
        <w:t xml:space="preserve">(4) Die Berechnung der Kapitalabfindung bestimmt, unter Beachtung von § 4 Abs. 5 des Gesetzes zur Verbesserung der betrieblichen Altersversorgung (BetrAVG), der Technische Geschäftsplan, der der Genehmigung der Aufsichtsbehörde bedarf.</w:t>
      </w:r>
    </w:p>
    <w:p>
      <w:r>
        <w:t xml:space="preserve">(5) Mit der Zahlung der Abfindung an den Arbeitnehmer bzw. Rentenberechtigten erlöschen alle Ansprüche gegen die Kasse aus dem Versicherungsverhältnis.</w:t>
      </w:r>
    </w:p>
    <w:p>
      <w:r>
        <w:t xml:space="preserve">(6) Auf Renten, die erstmals bereits vor dem 1. Januar 2005 gezahlt worden sind, findet § 20a in seiner bis zum 31. Dezember 2005 geltenden Fassung weiterhin Anwendung. -----</w:t>
      </w:r>
    </w:p>
    <w:p>
      <w:pPr>
        <w:ind w:left="420"/>
      </w:pPr>
      <w:r>
        <w:t xml:space="preserve">*) Im Jahr 2005: 24,15 EUR monatlich (West), 20,30 EUR (Ost).</w:t>
      </w:r>
    </w:p>
    <w:p>
      <w:r>
        <w:rPr>
          <w:color w:val="555555"/>
          <w:sz w:val="17"/>
        </w:rPr>
        <w:t xml:space="preserve">Zitiervorschlag: § 20a PKDBSa</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https://recht.nulegal.eu/gesetze/PKDBSa/20a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