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PIDV</w:t>
      </w:r>
    </w:p>
    <w:p>
      <w:r>
        <w:rPr>
          <w:color w:val="555555"/>
          <w:sz w:val="18"/>
        </w:rPr>
        <w:t xml:space="preserve">Präimplantationsdiagnostikverordnung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https://recht.nulegal.eu/gesetze/PIDV/schlussformel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