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PIDV</w:t>
      </w:r>
    </w:p>
    <w:p>
      <w:r>
        <w:rPr>
          <w:color w:val="555555"/>
          <w:sz w:val="18"/>
        </w:rPr>
        <w:t xml:space="preserve">Präimplantationsdiagnostikverordnung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3a Absatz 3 Satz 3 des Embryonenschutzgesetzes, der durch Artikel 1 Nummer 1 des Gesetzes vom 21. November 2011 (BGBl. I S. 2228) eingefügt worden ist, verordnet die Bundesregierung:</w:t>
      </w:r>
    </w:p>
    <w:p>
      <w:r>
        <w:rPr>
          <w:color w:val="555555"/>
          <w:sz w:val="17"/>
        </w:rPr>
        <w:t xml:space="preserve">Zitiervorschlag: Eingangsformel PIDV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https://recht.nulegal.eu/gesetze/PIDV/eingangsformel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