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PIDV — Umgang der Ethikkommissionen mit Daten</w:t>
      </w:r>
    </w:p>
    <w:p>
      <w:r>
        <w:rPr>
          <w:color w:val="555555"/>
          <w:sz w:val="18"/>
        </w:rPr>
        <w:t xml:space="preserve">Präimplantationsdiagnostikverordnung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Ethikkommissionen dürfen mit Einwilligung der Antragsberechtigten und soweit personenbezogene Daten des Mannes, von dem die Samenzelle stammt, Gegenstand des Antrags sind, auch mit dessen Einwilligung nach § 8 Absatz 1 die in § 5 Absatz 2 genannten personenbezogenen Daten zu dem dort genannten Zweck verarbeiten.</w:t>
      </w:r>
    </w:p>
    <w:p>
      <w:r>
        <w:t xml:space="preserve">(2) Die Ethikkommissionen sind verpflichtet, den Zentren anonymisiert die Daten nach § 8 Absatz 2 Nummer 1, 3 und 4 zu übermitteln.</w:t>
      </w:r>
    </w:p>
    <w:p>
      <w:r>
        <w:t xml:space="preserve">(3) Die Ethikkommissionen haben die erforderlichen technischen und organisatorischen Maßnahmen zu treffen, um eine unzulässige Verwendung der Daten auszuschließen.</w:t>
      </w:r>
    </w:p>
    <w:p>
      <w:r>
        <w:t xml:space="preserve">(4) Die Ethikkommissionen stellen sicher, dass die Angaben und Unterlagen nach § 5 Absatz 2 sowie alle für die Entscheidung der Ethikkommission maßgeblichen Dokumente nach der Entscheidung über den Antrag 30 Jahre aufbewahrt werden. Nach Ablauf der in Satz 1 genannten Frist sind die Angaben und Unterlagen unverzüglich zu löschen. Die Angaben und Unterlagen sind vor Ablauf der in Satz 1 genannten Frist unverzüglich zu löschen, wenn der Antrag nach § 5 Absatz 1 zurückgenommen wird.</w:t>
      </w:r>
    </w:p>
    <w:p>
      <w:r>
        <w:rPr>
          <w:color w:val="555555"/>
          <w:sz w:val="17"/>
        </w:rPr>
        <w:t xml:space="preserve">Zitiervorschlag: § 7 PIDV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