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PIDV — Antrag auf Durchführung einer Präimplantationsdiagnostik</w:t>
      </w:r>
    </w:p>
    <w:p>
      <w:r>
        <w:rPr>
          <w:color w:val="555555"/>
          <w:sz w:val="18"/>
        </w:rPr>
        <w:t xml:space="preserve">Präimplantationsdiagnostikverordnung</w:t>
      </w:r>
    </w:p>
    <w:p>
      <w:r>
        <w:rPr>
          <w:color w:val="555555"/>
          <w:sz w:val="18"/>
        </w:rPr>
        <w:t xml:space="preserve">Stand: 10.06.2019 (konsolidierte Textfassung, kein amtliches Inkrafttretensdatum)</w:t>
      </w:r>
    </w:p>
    <w:p>
      <w:r>
        <w:t xml:space="preserve">(1) Die Ethikkommission wird zur Prüfung und Bewertung nach § 3a Absatz 3 Satz 1 Nummer 2 des Embryonenschutzgesetzes nur auf schriftlichen Antrag der Frau, von der die Eizelle stammt (Antragsberechtigte), tätig.</w:t>
      </w:r>
    </w:p>
    <w:p>
      <w:r>
        <w:t xml:space="preserve">(2) Der Antrag hat alle Angaben und Unterlagen zu enthalten, die die Ethikkommission für die Prüfung des Vorliegens der in § 3a Absatz 2 des Embryonenschutzgesetzes genannten Voraussetzungen benötigt. Vorzulegen sind:</w:t>
      </w:r>
    </w:p>
    <w:p>
      <w:pPr>
        <w:ind w:left="420"/>
      </w:pPr>
      <w:r>
        <w:t xml:space="preserve">1. in den Fällen des § 3a Absatz 2 Satz 1 des Embryonenschutzgesetzes ein ärztlich-humangenetischer Befund über die genetische Disposition der Frau, von der die Eizelle stammt, oder des Mannes, von dem die Samenzelle stammt, oder von beiden, einschließlich der Bezeichnung der daraus hervorgehenden Erbkrankheit, Angaben zur Erkrankungswahrscheinlichkeit der Nachkommen sowie zu der zu erwartenden Krankheitsausprägung,</w:t>
      </w:r>
    </w:p>
    <w:p>
      <w:pPr>
        <w:ind w:left="420"/>
      </w:pPr>
      <w:r>
        <w:t xml:space="preserve">2. ein Nachweis der schriftlichen Einwilligung der Antragsberechtigten nach § 8 Absatz 1 in die Erhebung, Verarbeitung und Nutzung ihrer personenbezogenen Daten durch die Ethikkommission,</w:t>
      </w:r>
    </w:p>
    <w:p>
      <w:pPr>
        <w:ind w:left="420"/>
      </w:pPr>
      <w:r>
        <w:t xml:space="preserve">3. ein Nachweis der schriftlichen Einwilligung des Mannes, von dem die Samenzelle stammt, in die Erhebung, Verarbeitung und Nutzung seiner personenbezogenen Daten durch die Ethikkommission, soweit dessen personenbezogene Daten Gegenstand des Antrags sind,</w:t>
      </w:r>
    </w:p>
    <w:p>
      <w:pPr>
        <w:ind w:left="420"/>
      </w:pPr>
      <w:r>
        <w:t xml:space="preserve">4. in den Fällen des § 3a Absatz 2 Satz 2 des Embryonenschutzgesetzes eine ärztliche Beurteilung der Annahme, dass eine schwerwiegende Schädigung des Embryos zu erwarten ist, die mit hoher Wahrscheinlichkeit zu einer Tot- oder Fehlgeburt führen wird,</w:t>
      </w:r>
    </w:p>
    <w:p>
      <w:pPr>
        <w:ind w:left="420"/>
      </w:pPr>
      <w:r>
        <w:t xml:space="preserve">5. die Angabe des Zentrums, in dem die Präimplantationsdiagnostik durchgeführt werden soll, einschließlich der Bestätigung, dass diese dort im Fall einer zustimmenden Bewertung durchgeführt werden wird,</w:t>
      </w:r>
    </w:p>
    <w:p>
      <w:pPr>
        <w:ind w:left="420"/>
      </w:pPr>
      <w:r>
        <w:t xml:space="preserve">6. Angaben darüber, ob hinsichtlich des zur Bewertung vorgelegten Sachverhaltes bereits die Entscheidung einer anderen Ethikkommission für Präimplantationsdiagnostik vorliegt, und, sofern eine solche Entscheidung vorliegt, eine Abschrift dieser Entscheidung.</w:t>
      </w:r>
    </w:p>
    <w:p>
      <w:r>
        <w:rPr>
          <w:color w:val="555555"/>
          <w:sz w:val="17"/>
        </w:rPr>
        <w:t xml:space="preserve">Zitiervorschlag: § 5 PIDV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https://recht.nulegal.eu/gesetze/PIDV/5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