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PIDV — Ethikkommissionen für Präimplantationsdiagnostik</w:t>
      </w:r>
    </w:p>
    <w:p>
      <w:r>
        <w:rPr>
          <w:color w:val="555555"/>
          <w:sz w:val="18"/>
        </w:rPr>
        <w:t xml:space="preserve">Präimplantationsdiagnostikverordnung</w:t>
      </w:r>
    </w:p>
    <w:p>
      <w:r>
        <w:rPr>
          <w:color w:val="555555"/>
          <w:sz w:val="18"/>
        </w:rPr>
        <w:t xml:space="preserve">Stand: 10.06.2019 (konsolidierte Textfassung, kein amtliches Inkrafttretensdatum)</w:t>
      </w:r>
    </w:p>
    <w:p>
      <w:r>
        <w:t xml:space="preserve">(1) Die Länder richten für die für die Durchführung der Präimplantationsdiagnostik zugelassenen Zentren unabhängige interdisziplinär zusammengesetzte Ethikkommissionen für Präimplantationsdiagnostik (Ethikkommissionen) ein. Dabei können die Länder auch gemeinsame Ethikkommissionen einrichten. Die Ethikkommissionen setzen sich aus vier Sachverständigen der Fachrichtung Medizin, jeweils einem oder einer Sachverständigen der Fachrichtungen Ethik und Recht sowie jeweils einem Vertreter der für die Wahrnehmung der Interessen der Patientinnen und Patienten und der Selbsthilfe behinderter Menschen auf Landesebene maßgeblichen Organisationen zusammen. Bei der Zusammensetzung der Ethikkommission hat die berufende Stelle Frauen und Männer mit dem Ziel ihrer gleichberechtigten Teilhabe zu berücksichtigen.</w:t>
      </w:r>
    </w:p>
    <w:p>
      <w:r>
        <w:t xml:space="preserve">(2) Die Mitglieder der Ethikkommissionen sind in ihrer Meinungsbildung und Entscheidungsfindung unabhängig und nicht weisungsgebunden. Sie sind zur Vertraulichkeit und Verschwiegenheit verpflichtet.</w:t>
      </w:r>
    </w:p>
    <w:p>
      <w:r>
        <w:t xml:space="preserve">(3) Die Ethikkommissionen erheben für ihre nach § 3a Absatz 3 Satz 1 Nummer 2 des Embryonenschutzgesetzes festgelegte Tätigkeit Gebühren und Auslagen.</w:t>
      </w:r>
    </w:p>
    <w:p>
      <w:r>
        <w:t xml:space="preserve">(4) Das Nähere zur Zusammensetzung, zu internen Verfahrensregelungen, zur Berufung der Mitglieder der Ethikkommissionen und zur Finanzierung der Ethikkommissionen wird durch Landesrecht bestimmt. Die Dauer der Berufung der Mitglieder der Ethikkommissionen ist zu befristen.</w:t>
      </w:r>
    </w:p>
    <w:p>
      <w:r>
        <w:rPr>
          <w:color w:val="555555"/>
          <w:sz w:val="17"/>
        </w:rPr>
        <w:t xml:space="preserve">Zitiervorschlag: § 4 PIDV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https://recht.nulegal.eu/gesetze/PIDV/4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