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PIDV — Anwendungsbereich</w:t>
      </w:r>
    </w:p>
    <w:p>
      <w:r>
        <w:rPr>
          <w:color w:val="555555"/>
          <w:sz w:val="18"/>
        </w:rPr>
        <w:t xml:space="preserve">Präimplantationsdiagnostikverordnung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Anforderungen an</w:t>
      </w:r>
    </w:p>
    <w:p>
      <w:pPr>
        <w:ind w:left="420"/>
      </w:pPr>
      <w:r>
        <w:t xml:space="preserve">1. die Voraussetzungen für die Zulassung von Zentren, in denen die Präimplantationsdiagnostik durchgeführt werden darf, und die Dauer der Zulassung nach § 3a Absatz 3 Satz 3 Nummer 1 des Embryonenschutzgesetzes,</w:t>
      </w:r>
    </w:p>
    <w:p>
      <w:pPr>
        <w:ind w:left="420"/>
      </w:pPr>
      <w:r>
        <w:t xml:space="preserve">2. die Qualifikation der in den zugelassenen Zentren tätigen Ärztinnen und Ärzte nach § 3a Absatz 3 Satz 3 Nummer 1 des Embryonenschutzgesetzes,</w:t>
      </w:r>
    </w:p>
    <w:p>
      <w:pPr>
        <w:ind w:left="420"/>
      </w:pPr>
      <w:r>
        <w:t xml:space="preserve">3. die Einrichtung, Zusammensetzung, Verfahrensweise und Finanzierung der Ethikkommissionen für Präimplantationsdiagnostik nach § 3a Absatz 3 Satz 3 Nummer 2 des Embryonenschutzgesetzes,</w:t>
      </w:r>
    </w:p>
    <w:p>
      <w:pPr>
        <w:ind w:left="420"/>
      </w:pPr>
      <w:r>
        <w:t xml:space="preserve">4. die Einrichtung und Ausgestaltung der Zentralstelle nach § 3a Absatz 3 Satz 3 Nummer 3 des Embryonenschutzgesetzes, der die Dokumentation von im Rahmen der Präimplantationsdiagnostik durchgeführten Maßnahmen obliegt,</w:t>
      </w:r>
    </w:p>
    <w:p>
      <w:pPr>
        <w:ind w:left="420"/>
      </w:pPr>
      <w:r>
        <w:t xml:space="preserve">5. die Meldung von im Rahmen der Präimplantationsdiagnostik durchgeführten Maßnahmen nach § 3a Absatz 3 Satz 3 Nummer 4 des Embryonenschutzgesetzes und</w:t>
      </w:r>
    </w:p>
    <w:p>
      <w:pPr>
        <w:ind w:left="420"/>
      </w:pPr>
      <w:r>
        <w:t xml:space="preserve">6. die Dokumentation nach § 3a Absatz 3 Satz 3 Nummer 4 des Embryonenschutzgesetzes.</w:t>
      </w:r>
    </w:p>
    <w:p>
      <w:r>
        <w:rPr>
          <w:color w:val="555555"/>
          <w:sz w:val="17"/>
        </w:rPr>
        <w:t xml:space="preserve">Zitiervorschlag: § 1 PIDV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https://recht.nulegal.eu/gesetze/PIDV/1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