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PIDG NRW (Nordrhein-Westfalen) — Anwendungsbereich</w:t>
      </w:r>
    </w:p>
    <w:p>
      <w:r>
        <w:rPr>
          <w:color w:val="555555"/>
          <w:sz w:val="18"/>
        </w:rPr>
        <w:t xml:space="preserve">Präimplantationsdiagnostikgesetz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regelt</w:t>
      </w:r>
    </w:p>
    <w:p>
      <w:r>
        <w:t xml:space="preserve">1. die Aufgaben der zuständigen Behörde für die Erteilung der Zulassung zur Durchführung von Präimplantationsdiagnostik nach § 3 Absatz 1 Nummer 2 der Präimplantationsdiagnostikverordnung vom 21. Februar 2013 (BGBl. I S. 323) und</w:t>
      </w:r>
    </w:p>
    <w:p>
      <w:r>
        <w:t xml:space="preserve">2. die Zusammensetzung, die interne Verfahrensregelung, die Berufung der Mitglieder, die Dauer der Mitgliedschaft und die Finanzierung der Ethikkommission nach § 4 Absatz 1 und 4 der Präimplantationsdiagnostikverordnung.</w:t>
      </w:r>
    </w:p>
    <w:p>
      <w:r>
        <w:rPr>
          <w:color w:val="555555"/>
          <w:sz w:val="17"/>
        </w:rPr>
        <w:t xml:space="preserve">Zitiervorschlag: § 1 PIDG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https://recht.nulegal.eu/gesetze/PIDG%20NRW/1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