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PHöchstMengV</w:t>
      </w:r>
    </w:p>
    <w:p>
      <w:r>
        <w:rPr>
          <w:color w:val="555555"/>
          <w:sz w:val="18"/>
        </w:rPr>
        <w:t xml:space="preserve">Phosphathöchstmengenverordnung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2 und 3 des Waschmittelgesetzes vom 20. August 1975 (BGBl. I S. 2255) wird nach Anhörung der beteiligten Kreise</w:t>
      </w:r>
    </w:p>
    <w:p>
      <w:pPr>
        <w:ind w:left="420"/>
      </w:pPr>
      <w:r>
        <w:t xml:space="preserve">- zu § 4 Abs. 2 im Einvernehmen mit dem Bundesminister für Wirtschaft</w:t>
      </w:r>
    </w:p>
    <w:p>
      <w:pPr>
        <w:ind w:left="420"/>
      </w:pPr>
      <w:r>
        <w:t xml:space="preserve">- zu § 4 Abs. 3 im Einvernehmen mit den Bundesministern für Wirtschaft und für Jugend, Familie und Gesundheit</w:t>
      </w:r>
    </w:p>
    <w:p>
      <w:r>
        <w:t xml:space="preserve">mit Zustimmung des Bundesrates verordnet:</w:t>
      </w:r>
    </w:p>
    <w:p>
      <w:r>
        <w:rPr>
          <w:color w:val="555555"/>
          <w:sz w:val="17"/>
        </w:rPr>
        <w:t xml:space="preserve">Zitiervorschlag: Eingangsformel PHöchstMengV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https://recht.nulegal.eu/gesetze/PH%C3%B6chstMengV/eingangsformel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