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PHöchstMengV — Inkrafttreten</w:t>
      </w:r>
    </w:p>
    <w:p>
      <w:r>
        <w:rPr>
          <w:color w:val="555555"/>
          <w:sz w:val="18"/>
        </w:rPr>
        <w:t xml:space="preserve">Phosphathöchstmengenverordnung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8 PHöchstMengV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https://recht.nulegal.eu/gesetze/PH%C3%B6chstMengV/8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