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PHöchstMengV — Übergangsbestimmung</w:t>
      </w:r>
    </w:p>
    <w:p>
      <w:r>
        <w:rPr>
          <w:color w:val="555555"/>
          <w:sz w:val="18"/>
        </w:rPr>
        <w:t xml:space="preserve">Phosphathöchstmengenverordnung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Wasch- und Reinigungsmittel, die vor dem 1. Oktober 1981 (§ 2 Abs. 2, § 3 Abs. 1) hergestellt worden sind, dürfen auch danach in den Verkehr gebracht werden. Dies gilt entsprechend für Wasch- und Reinigungsmittel, die vor dem 1. Januar 1984 (§ 2 Abs. 3) hergestellt worden sind.</w:t>
      </w:r>
    </w:p>
    <w:p>
      <w:r>
        <w:rPr>
          <w:color w:val="555555"/>
          <w:sz w:val="17"/>
        </w:rPr>
        <w:t xml:space="preserve">Zitiervorschlag: § 6 PHöchstMengV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https://recht.nulegal.eu/gesetze/PH%C3%B6chstMengV/6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