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PHöchstMengV — Verfahren</w:t>
      </w:r>
    </w:p>
    <w:p>
      <w:r>
        <w:rPr>
          <w:color w:val="555555"/>
          <w:sz w:val="18"/>
        </w:rPr>
        <w:t xml:space="preserve">Phosphathöchstmengenverordnung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Phosphatgehalt der Wasch- und Reinigungsmittel ist nach dem in der Anlage zu dieser Verordnung beschriebenen Verfahren oder nach einem Verfahren zu bestimmen, das gleichwertige Ergebnisse erbringt.</w:t>
      </w:r>
    </w:p>
    <w:p>
      <w:r>
        <w:rPr>
          <w:color w:val="555555"/>
          <w:sz w:val="17"/>
        </w:rPr>
        <w:t xml:space="preserve">Zitiervorschlag: § 4 PHöchstMengV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https://recht.nulegal.eu/gesetze/PH%C3%B6chstMengV/4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