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PHöchstMengV — Wasch- und Reinigungsmittel zur Verwendung in Wäschereien</w:t>
      </w:r>
    </w:p>
    <w:p>
      <w:r>
        <w:rPr>
          <w:color w:val="555555"/>
          <w:sz w:val="18"/>
        </w:rPr>
        <w:t xml:space="preserve">Phosphathöchstmengenverordnung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höchstzulässige Phosphatgehalt von Wasch- und Reinigungsmitteln zur Verwendung in Wäschereien bemißt sich ab 1. Oktober 1981 bei Beachtung der Dosierungsempfehlungen und auf der Grundlage eines Verhältnisses von 1 Kilogramm Trockenwäsche zu 5 Litern Waschlauge nach folgenden Obergrenzen für den Phosphatgehalt in der Waschlauge, ermittelt als Gramm an elementarem Phosphor je Liter Waschlauge (g/lP; Phosphathöchstmengen):</w:t>
      </w:r>
    </w:p>
    <w:p>
      <w:r>
        <w:rPr>
          <w:rFonts w:ascii="Courier New" w:hAnsi="Courier New"/>
          <w:sz w:val="17"/>
        </w:rPr>
        <w:t xml:space="preserve">Phosphatgehalt in der Waschlauge in g/lP bei Verwendung von</w:t>
      </w:r>
    </w:p>
    <w:p>
      <w:r>
        <w:rPr>
          <w:rFonts w:ascii="Courier New" w:hAnsi="Courier New"/>
          <w:sz w:val="17"/>
        </w:rPr>
        <w:t xml:space="preserve">Wasserhärtebereich    Vollwaschmitteln, Alleinwaschmitteln    Spezialwaschmitteln, Bunt- und Feinwaschmitteln    Vorwaschmitteln</w:t>
      </w:r>
    </w:p>
    <w:p>
      <w:r>
        <w:rPr>
          <w:rFonts w:ascii="Courier New" w:hAnsi="Courier New"/>
          <w:sz w:val="17"/>
        </w:rPr>
        <w:t xml:space="preserve">    im gesamten Waschvorgang:    in der Vorwäsche:</w:t>
      </w:r>
    </w:p>
    <w:p>
      <w:r>
        <w:rPr>
          <w:rFonts w:ascii="Courier New" w:hAnsi="Courier New"/>
          <w:sz w:val="17"/>
        </w:rPr>
        <w:t xml:space="preserve">1    0,45    0,70    0,30</w:t>
      </w:r>
    </w:p>
    <w:p>
      <w:r>
        <w:rPr>
          <w:rFonts w:ascii="Courier New" w:hAnsi="Courier New"/>
          <w:sz w:val="17"/>
        </w:rPr>
        <w:t xml:space="preserve">2    0,60    0,85    0,40</w:t>
      </w:r>
    </w:p>
    <w:p>
      <w:r>
        <w:rPr>
          <w:rFonts w:ascii="Courier New" w:hAnsi="Courier New"/>
          <w:sz w:val="17"/>
        </w:rPr>
        <w:t xml:space="preserve">3    0,80    1,00    0,55</w:t>
      </w:r>
    </w:p>
    <w:p>
      <w:r>
        <w:rPr>
          <w:rFonts w:ascii="Courier New" w:hAnsi="Courier New"/>
          <w:sz w:val="17"/>
        </w:rPr>
        <w:t xml:space="preserve">4    1,00    1,20    0,65</w:t>
      </w:r>
    </w:p>
    <w:p>
      <w:r>
        <w:t xml:space="preserve">Für Wasch- und Reinigungsmittel, die aufeinander abgestimmt sind und nach ihren Dosierungsempfehlungen nacheinander zu verwenden sind, gelten für den sich insgesamt ergebenden Phosphatgehalt in der Waschlauge die für Vollwaschmittel festgelegten Obergrenzen.</w:t>
      </w:r>
    </w:p>
    <w:p>
      <w:r>
        <w:t xml:space="preserve">(2) Bei Wasch- und Reinigungsmitteln, die nach ihren Dosierungsempfehlungen gleichzeitig mit anderen Wasch- und Reinigungsmitteln zu verwenden sind, darf der Phosphatgehalt insgesamt nicht die Obergrenzen des Absatzes 1 Satz 1 überschreiten.</w:t>
      </w:r>
    </w:p>
    <w:p>
      <w:r>
        <w:rPr>
          <w:color w:val="555555"/>
          <w:sz w:val="17"/>
        </w:rPr>
        <w:t xml:space="preserve">Zitiervorschlag: § 3 PHöchstMengV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https://recht.nulegal.eu/gesetze/PH%C3%B6chstMengV/3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