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PHöchstMengV — Anwendungsbereich</w:t>
      </w:r>
    </w:p>
    <w:p>
      <w:r>
        <w:rPr>
          <w:color w:val="555555"/>
          <w:sz w:val="18"/>
        </w:rPr>
        <w:t xml:space="preserve">Phosphathöchstmengenverordnung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wird angewandt auf Wasch- und Reinigungsmittel, die zur Reinigung von Textilien im Haushalt oder in Wäschereien bestimmt sind und für die wegen ihres Phosphatgehaltes Dosierungsempfehlungen anzugeben sind. Sie wird nicht angewandt auf Wasch- und Reinigungsmittel, die zur Lieferung in Gebiete außerhalb des Geltungsbereiches dieser Verordnung bestimmt sind.</w:t>
      </w:r>
    </w:p>
    <w:p>
      <w:r>
        <w:rPr>
          <w:color w:val="555555"/>
          <w:sz w:val="17"/>
        </w:rPr>
        <w:t xml:space="preserve">Zitiervorschlag: § 1 PHöchstMengV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https://recht.nulegal.eu/gesetze/PH%C3%B6chstMengV/1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