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PFoG (Nordrhein-Westfalen)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Für 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zugleich in eigener Ressortzuständigkeit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Die Ministerin</w:t>
      </w:r>
    </w:p>
    <w:p>
      <w:r>
        <w:t xml:space="preserve">für Familie, Kinder, Jugend, Kultur und Sport</w:t>
      </w:r>
    </w:p>
    <w:p>
      <w:r>
        <w:t xml:space="preserve">zugleich für 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und Chef der Staatskanzlei</w:t>
      </w:r>
    </w:p>
    <w:p>
      <w:r>
        <w:rPr>
          <w:color w:val="555555"/>
          <w:sz w:val="17"/>
        </w:rPr>
        <w:t xml:space="preserve">Zitiervorschlag: Schlussformel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