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PFoG (Nordrhein-Westfalen) — Verwendung des Sondervermögens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darf ausschließlich zu dem in § 3 genannten Zweck verwendet werden.</w:t>
      </w:r>
    </w:p>
    <w:p>
      <w:r>
        <w:t xml:space="preserve">(2) Beginn, Höhe und Dauer der Ablieferung des Sondervermögens sind durch Gesetz zu regeln.</w:t>
      </w:r>
    </w:p>
    <w:p>
      <w:r>
        <w:rPr>
          <w:color w:val="555555"/>
          <w:sz w:val="17"/>
        </w:rPr>
        <w:t xml:space="preserve">Zitiervorschlag: § 7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