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PFoG (Nordrhein-Westfalen) — Zweck</w:t>
      </w:r>
    </w:p>
    <w:p>
      <w:r>
        <w:rPr>
          <w:color w:val="555555"/>
          <w:sz w:val="18"/>
        </w:rPr>
        <w:t xml:space="preserve">Pensionsfondsgesetz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Sondervermögen dient ausschließlich der Vorsorge für die Versorgungsausgaben.</w:t>
      </w:r>
    </w:p>
    <w:p>
      <w:r>
        <w:t xml:space="preserve">(2) Unmittelbare Ansprüche von Versorgungsempfängerinnen und Versorgungsempfängern gegen das Sondervermögen werden nicht begründet.</w:t>
      </w:r>
    </w:p>
    <w:p>
      <w:r>
        <w:rPr>
          <w:color w:val="555555"/>
          <w:sz w:val="17"/>
        </w:rPr>
        <w:t xml:space="preserve">Zitiervorschlag: § 3 PFoG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https://recht.nulegal.eu/gesetze/PFoG/3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