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PFAV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verordnet auf Grund</w:t>
      </w:r>
    </w:p>
    <w:p>
      <w:pPr>
        <w:ind w:left="420"/>
      </w:pPr>
      <w:r>
        <w:t xml:space="preserve">– des § 240 Satz 1 Nummer 1 bis 3 und 7 bis 9 in Verbindung mit Satz 3 des Versicherungsaufsichtsgesetzes vom 1. April 2015 (BGBl. I S. 434),</w:t>
      </w:r>
    </w:p>
    <w:p>
      <w:pPr>
        <w:ind w:left="420"/>
      </w:pPr>
      <w:r>
        <w:t xml:space="preserve">– des § 240 Satz 1 Nummer 10 bis 12 in Verbindung mit Satz 3 und 4 des Versicherungsaufsichtsgesetzes vom 1. April 2015 (BGBl. I S. 434) im Einvernehmen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