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PFAV — (zu § 28 Absatz 3) Nachweis der Eigenmittel und Berechnung der Solvabilitätskapitalanforderung für Pensionsfonds</w:t>
      </w:r>
    </w:p>
    <w:p>
      <w:r>
        <w:rPr>
          <w:color w:val="555555"/>
          <w:sz w:val="18"/>
        </w:rPr>
        <w:t xml:space="preserve">Pensionsfonds-Aufsichtsverordnung</w:t>
      </w:r>
    </w:p>
    <w:p>
      <w:r>
        <w:rPr>
          <w:color w:val="555555"/>
          <w:sz w:val="18"/>
        </w:rPr>
        <w:t xml:space="preserve">Stand: 19.12.2024 (konsolidierte Textfassung, kein amtliches Inkrafttretensdatum)</w:t>
      </w:r>
    </w:p>
    <w:p>
      <w:r>
        <w:t xml:space="preserve">(Fundstelle: BGBl. 2024 I Nr. 414, S. 208 - 211)</w:t>
      </w:r>
    </w:p>
    <w:p>
      <w:r>
        <w:rPr>
          <w:color w:val="555555"/>
          <w:sz w:val="17"/>
        </w:rPr>
        <w:t xml:space="preserve">Zitiervorschlag: Anlage 4 PFAV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https://recht.nulegal.eu/gesetze/PFAV/anlage-4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