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PFAV — (zu § 20) Kongruenzregeln</w:t>
      </w:r>
    </w:p>
    <w:p>
      <w:r>
        <w:rPr>
          <w:color w:val="555555"/>
          <w:sz w:val="18"/>
        </w:rPr>
        <w:t xml:space="preserve">Pensionsfonds-Aufsichtsverordnung</w:t>
      </w:r>
    </w:p>
    <w:p>
      <w:r>
        <w:rPr>
          <w:color w:val="555555"/>
          <w:sz w:val="18"/>
        </w:rPr>
        <w:t xml:space="preserve">Stand: 19.12.2024 (konsolidierte Textfassung, kein amtliches Inkrafttretensdatum)</w:t>
      </w:r>
    </w:p>
    <w:p>
      <w:r>
        <w:t xml:space="preserve">(Fundstelle: BGBl. I 2016, 868, bzgl. der einzelnen Änderungen vgl. Fußnote)</w:t>
      </w:r>
    </w:p>
    <w:p>
      <w:pPr>
        <w:ind w:left="420"/>
      </w:pPr>
      <w:r>
        <w:t xml:space="preserve">1. Ist die Deckung eines Pensionsplans in einer bestimmten Währung ausgedrückt, so gelten die Verpflichtungen als in dieser Währung bestehend.</w:t>
      </w:r>
    </w:p>
    <w:p>
      <w:pPr>
        <w:ind w:left="420"/>
      </w:pPr>
      <w:r>
        <w:t xml:space="preserve">2. Ist die Deckung eines Pensionsplans nicht in einer Währung ausgedrückt, so gelten die Verpflichtungen als in der Währung des Landes bestehend, in dem der Versicherte seinen Wohnsitz hat. Die Währung, in der die Prämie ausgedrückt ist, kann zugrunde gelegt werden, wenn besondere Umstände dies rechtfertigen, insbesondere wenn es bereits bei Einigung über den Pensionsplan wahrscheinlich ist, dass der Eintritt eines Versorgungsfalls in dieser Währung geregelt werden wird.</w:t>
      </w:r>
    </w:p>
    <w:p>
      <w:pPr>
        <w:ind w:left="420"/>
      </w:pPr>
      <w:r>
        <w:t xml:space="preserve">3. Die Währung, die ein Pensionsfonds nach seinen Erfahrungen als die wahrscheinlichste für die Erfüllung betrachtet, oder mangels solcher Erfahrungen die Währung des Landes, in dem er sich niedergelassen hat, kann, sofern nicht besondere Umstände dagegen sprechen, bei Risiken aus Pensionsfondsgeschäften gemäß Anlage 1 Nummer 25 zum Versicherungsaufsichtsgesetz zugrunde gelegt werden, wenn entsprechend der Art des Risikos des jeweiligen Pensionsfondsgeschäfts die Erfüllung in einer anderen Währung als der Währung erfolgen muss, die sich aus der Anwendung der vorgenannten Regeln ergeben würde.</w:t>
      </w:r>
    </w:p>
    <w:p>
      <w:pPr>
        <w:ind w:left="420"/>
      </w:pPr>
      <w:r>
        <w:t xml:space="preserve">4. Wird einem Pensionsfonds der Eintritt eines Versorgungsfalls gemeldet und ist dieser Versorgungsfall in einer anderen als der sich aus der Anwendung der vorstehenden Regeln ergebenden Währung zu regeln, so gelten die Verpflichtungen als in dieser anderen Währung bestehend, insbesondere wenn es die Währung ist, in der die von dem Pensionsfonds zu erbringende Leistung auf Grund einer gerichtlichen Entscheidung oder auf Grund einer Vereinbarung im Pensionsplan bestimmt worden ist.</w:t>
      </w:r>
    </w:p>
    <w:p>
      <w:pPr>
        <w:ind w:left="420"/>
      </w:pPr>
      <w:r>
        <w:t xml:space="preserve">5. Wird der Eintritt eines Versorgungsfalls in einer dem Pensionsfonds vorher bekannten Währung festgestellt, kann die Verpflichtung als in dieser anderen Währung bestehend angesehen werden, auch wenn sie nicht die sich aus der Anwendung der vorstehenden Regeln ergebende Währung ist.</w:t>
      </w:r>
    </w:p>
    <w:p>
      <w:pPr>
        <w:ind w:left="420"/>
      </w:pPr>
      <w:r>
        <w:t xml:space="preserve">6. Das Sicherungsvermögen braucht nicht in Vermögenswerten angelegt zu werden, die auf die gleiche Währung lauten, in der die Verpflichtungen bestehen, wenn</w:t>
      </w:r>
    </w:p>
    <w:p>
      <w:pPr>
        <w:ind w:left="780"/>
      </w:pPr>
      <w:r>
        <w:t xml:space="preserve">a) es sich nicht um eine Währung eines Mitgliedstaates der Europäische Union oder eines anderen Vertragsstaates des Abkommens über den Europäischen Wirtschaftsraum handelt und sich die betreffende Währung nicht zur Anlage eignet, insbesondere weil sie Transferbeschränkungen unterliegt,</w:t>
      </w:r>
    </w:p>
    <w:p>
      <w:pPr>
        <w:ind w:left="780"/>
      </w:pPr>
      <w:r>
        <w:t xml:space="preserve">b) das anzulegende Sicherungsvermögen nicht mehr als 30 Prozent der Verpflichtungen in einer bestimmten Währung betrifft oder</w:t>
      </w:r>
    </w:p>
    <w:p>
      <w:pPr>
        <w:ind w:left="780"/>
      </w:pPr>
      <w:r>
        <w:t xml:space="preserve">c) bei Anwendung der nach den Nummern 1 bis 5 geltenden Regeln in einer bestimmten Währung Vermögenswerte angelegt werden müssten, die nicht mehr als 7 Prozent der in anderen Währungen vorhandenen Vermögenswerte des Unternehmens ausmachen.</w:t>
      </w:r>
    </w:p>
    <w:p>
      <w:pPr>
        <w:ind w:left="420"/>
      </w:pPr>
      <w:r>
        <w:t xml:space="preserve">7. Soweit nach den vorstehenden Regeln das Sicherungsvermögen in Vermögenswerten anzulegen ist, die auf die Währung eines Mitgliedstaates der Europäische Union, dessen Währung nicht der Euro ist, oder auf die Währung eines anderen Vertragsstaates des Abkommens über den Europäischen Wirtschaftsraum lauten, kann die Anlage bis zu 50 Prozent in auf Euro lautenden Vermögenswerten erfolgen, soweit dies nach vernünftiger kaufmännischer Beurteilung gerechtfertigt ist.</w:t>
      </w:r>
    </w:p>
    <w:p>
      <w:r>
        <w:rPr>
          <w:color w:val="555555"/>
          <w:sz w:val="17"/>
        </w:rPr>
        <w:t xml:space="preserve">Zitiervorschlag: Anlage 3 PFAV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https://recht.nulegal.eu/gesetze/PFAV/anlage-3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