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PFAV — (zu § 12 Absatz 2 und 3) Anwendung der Formulare</w:t>
      </w:r>
    </w:p>
    <w:p>
      <w:r>
        <w:rPr>
          <w:color w:val="555555"/>
          <w:sz w:val="18"/>
        </w:rPr>
        <w:t xml:space="preserve">Pensionsfonds-Aufsichtsverordnung</w:t>
      </w:r>
    </w:p>
    <w:p>
      <w:r>
        <w:rPr>
          <w:color w:val="555555"/>
          <w:sz w:val="18"/>
        </w:rPr>
        <w:t xml:space="preserve">Stand: 19.12.2024 (konsolidierte Textfassung, kein amtliches Inkrafttretensdatum)</w:t>
      </w:r>
    </w:p>
    <w:p>
      <w:r>
        <w:t xml:space="preserve">(Fundstelle: BGBl. I 2016, 859 - 867; bzgl. der einzelnen Änderungen vgl. Fußnote)</w:t>
      </w:r>
    </w:p>
    <w:p>
      <w:r>
        <w:t xml:space="preserve">Abschnitt AAnmerkungen zu den Formularen</w:t>
      </w:r>
    </w:p>
    <w:p>
      <w:r>
        <w:t xml:space="preserve">Nr. 1: Formular F.800.01</w:t>
      </w:r>
    </w:p>
    <w:p>
      <w:pPr>
        <w:ind w:left="420"/>
      </w:pPr>
      <w:r>
        <w:t xml:space="preserve">1. An die Stelle des Aktivpostens 6.4 „eingefordertes, noch nicht eingezahltes Kapital“ tritt bei Pensionsfondsvereinen auf Gegenseitigkeit in der Bilanz der Aktivposten 6.4 „Wechsel der Zeichner des Gründungsstocks“.</w:t>
      </w:r>
    </w:p>
    <w:p>
      <w:pPr>
        <w:ind w:left="420"/>
      </w:pPr>
      <w:r>
        <w:t xml:space="preserve">2. Unter diesem Posten ist von Pensionsfondsvereinen auf Gegenseitigkeit der Gründungsstock auszuweisen.Sofern Aktiengesellschaften die Angaben gemäß § 152 Absatz 1 AktG in der externen Bilanz gemacht haben, sind diese Angaben hier nicht aufzuführen.</w:t>
      </w:r>
    </w:p>
    <w:p>
      <w:pPr>
        <w:ind w:left="420"/>
      </w:pPr>
      <w:r>
        <w:t xml:space="preserve">3. Sofern Aktiengesellschaften die Angaben gemäß § 152 Absatz 2 und 3 AktG in der externen Bilanz gemacht haben, sind diese Angaben hier nicht aufzuführen.</w:t>
      </w:r>
    </w:p>
    <w:p>
      <w:pPr>
        <w:ind w:left="420"/>
      </w:pPr>
      <w:r>
        <w:t xml:space="preserve">4. Unter diesem Posten ist von Pensionsfondsvereinen auf Gegenseitigkeit die Verlustrücklage gemäß § 193 VAG auszuweisen.</w:t>
      </w:r>
    </w:p>
    <w:p>
      <w:pPr>
        <w:ind w:left="420"/>
      </w:pPr>
      <w:r>
        <w:t xml:space="preserve">5. Aktiengesellschaften haben diesen Posten unabhängig vom externen Ausweis (vgl. § 58 Absatz 2a Satz 2 AktG) stets hier anzugeben.</w:t>
      </w:r>
    </w:p>
    <w:p>
      <w:pPr>
        <w:ind w:left="420"/>
      </w:pPr>
      <w:r>
        <w:t xml:space="preserve">6. Wird die Bilanz unter Berücksichtigung der teilweisen Verwendung des Jahresergebnisses aufgestellt, treten an die Stelle der Posten in den Zeilen ZE0640 bis ZE0670 die Posten in den Zeilen ZE0680 bis ZE0710.</w:t>
      </w:r>
    </w:p>
    <w:p>
      <w:pPr>
        <w:ind w:left="420"/>
      </w:pPr>
      <w:r>
        <w:t xml:space="preserve">7. Hier sind die Teile der erfolgsabhängigen RfB anzugeben, die gemäß § 237 Absatz 1 Satz 1 in Verbindung mit § 140 Absatz 4 VAG gebildet worden sind.</w:t>
      </w:r>
    </w:p>
    <w:p>
      <w:pPr>
        <w:ind w:left="420"/>
      </w:pPr>
      <w:r>
        <w:t xml:space="preserve">8. Unter diesem Posten ist die im Posten 6.1 enthaltene, nach Kapitel 5 dieser Verordnung zu bildende Deckungsrückstellung auszuweisen (vgl. § 17 Absatz 2 RechPensV).</w:t>
      </w:r>
    </w:p>
    <w:p>
      <w:r>
        <w:t xml:space="preserve">Nr. 2: Formular F.810.01</w:t>
      </w:r>
    </w:p>
    <w:p>
      <w:pPr>
        <w:ind w:left="420"/>
      </w:pPr>
      <w:r>
        <w:t xml:space="preserve">1. Unter diesem Posten sind die vom Pensionsfonds geleisteten Beiträge an den Pensionssicherungsverein für die Versorgungsberechtigten auszuweisen.</w:t>
      </w:r>
    </w:p>
    <w:p>
      <w:pPr>
        <w:ind w:left="420"/>
      </w:pPr>
      <w:r>
        <w:t xml:space="preserve">2. Hier sind auch die Erträge aus der Auflösung des Sonderpostens mit Rücklagenanteil auszuweisen, soweit er nicht die Kapitalanlagen betrifft.</w:t>
      </w:r>
    </w:p>
    <w:p>
      <w:pPr>
        <w:ind w:left="420"/>
      </w:pPr>
      <w:r>
        <w:t xml:space="preserve">3. Die Abschreibungen auf die Betriebs- und Geschäftsausstattung, auf aktivierte Aufwendungen für die Ingangsetzung und Erweiterung des Geschäftsbetriebs sowie auf unter den sonstigen immateriellen Vermögensgegenständen ausgewiesene Kaufpreise für den Erwerb von Gesamt- oder Teilbeständen an Pensionsfondsverträgen und entgeltlich erworbene EDV-Software sind nicht hier auszuweisen, sondern in die Aufteilung der Betriebsaufwendungen auf die Funktionsbereiche einzubeziehen.</w:t>
      </w:r>
    </w:p>
    <w:p>
      <w:pPr>
        <w:ind w:left="420"/>
      </w:pPr>
      <w:r>
        <w:t xml:space="preserve">4. Die Angaben ab Posten 23 sind unabhängig vom Ausweis im offengelegten Jahresabschluss stets hier zu machen.</w:t>
      </w:r>
    </w:p>
    <w:p>
      <w:pPr>
        <w:ind w:left="420"/>
      </w:pPr>
      <w:r>
        <w:t xml:space="preserve">5. Unter diesen Posten sind von den Pensionsfondsvereinen auf Gegenseitigkeit die Entnahme aus der oder die Einstellung in die Verlustrücklage nach § 193 VAG auszuweisen.</w:t>
      </w:r>
    </w:p>
    <w:p>
      <w:pPr>
        <w:ind w:left="420"/>
      </w:pPr>
      <w:r>
        <w:t xml:space="preserve">6. Aktiengesellschaften haben unabhängig vom Ausweis dieser Rücklage im offengelegten Jahresabschluss die Entnahme aus dieser Rücklage oder die Einstellung in diese Rücklage stets hier anzugeben.</w:t>
      </w:r>
    </w:p>
    <w:p>
      <w:r>
        <w:t xml:space="preserve">Nr. 3: Formular F.801.01</w:t>
      </w:r>
    </w:p>
    <w:p>
      <w:pPr>
        <w:ind w:left="420"/>
      </w:pPr>
      <w:r>
        <w:t xml:space="preserve">1. Für die Zuordnung zu den einzelnen Anlagearten gelten die Regelungen des § 5 RechPensV in Verbindung mit den §§ 7 bis 9 Satz 1, §§ 11 und 12 RechVersV sowie der §§ 6 und 7 RechPensV.</w:t>
      </w:r>
    </w:p>
    <w:p>
      <w:pPr>
        <w:ind w:left="420"/>
      </w:pPr>
      <w:r>
        <w:t xml:space="preserve">2. Hier ist nur der Saldo der Zu- und Abgänge während des Berichtszeitraums als Zugang oder Abgang auszuweisen.</w:t>
      </w:r>
    </w:p>
    <w:p>
      <w:pPr>
        <w:ind w:left="420"/>
      </w:pPr>
      <w:r>
        <w:t xml:space="preserve">3. Hier sind nicht die Bilanzwerte der Kapitalanlagen am Ende des dem Berichtsjahr vorausgehenden Geschäftsjahres anzugeben, sondern der um Währungskursänderungen bereinigte Anfangsbestand des Berichtsjahres. Das heißt, der Anfangsbestand am ersten Tag des Geschäftsjahres wird mit dem Währungskurswert am letzten Tag des Geschäftsjahres gerechnet.</w:t>
      </w:r>
    </w:p>
    <w:p>
      <w:pPr>
        <w:ind w:left="420"/>
      </w:pPr>
      <w:r>
        <w:t xml:space="preserve">4. Für die Ermittlung der Zeitwerte der Kapitalanlagen gelten die §§ 55 und 56 RechVersV entsprechend. Von den so ermittelten Werten sind darin enthaltene aktivierte Nutzungsansprüche (insbesondere noch nicht vorgenommene Ausschüttungen aus Investmentfonds) sowie Agien abzuziehen, Disagien sind hinzuzurechnen. Die hier ermittelten Zeitwerte können um die vorgenommenen Korrekturen von den Anhang-Angaben zur Bilanz abweichen.</w:t>
      </w:r>
    </w:p>
    <w:p>
      <w:pPr>
        <w:ind w:left="420"/>
      </w:pPr>
      <w:r>
        <w:t xml:space="preserve">5. Hier ist die Differenz aus Bilanz- und Zeitwert anzugeben.</w:t>
      </w:r>
    </w:p>
    <w:p>
      <w:r>
        <w:t xml:space="preserve">Nr. 4: Formular F.802.01</w:t>
      </w:r>
    </w:p>
    <w:p>
      <w:pPr>
        <w:ind w:left="420"/>
      </w:pPr>
      <w:r>
        <w:t xml:space="preserve">1. Die Summe der folgenden in der Gewinn-und-Verlust-Rechnung ausgewiesenen funktionalen Aufwendungen (pensionsfondstechnische Rechnung) sowie sonstiger Aufwendungen im Rahmen der gewöhnlichen Geschäftstätigkeit ist auf die Posten des Personal- und Sachaufwands des Formulars F.802.01 aufzugliedern:</w:t>
      </w:r>
    </w:p>
    <w:p>
      <w:pPr>
        <w:ind w:left="780"/>
      </w:pPr>
      <w:r>
        <w:t xml:space="preserve">a) Regulierungsaufwendungen für Versorgungsfälle ohne Zahlungen für Versorgungsfälle an die Versorgungsberechtigten;</w:t>
      </w:r>
    </w:p>
    <w:p>
      <w:pPr>
        <w:ind w:left="780"/>
      </w:pPr>
      <w:r>
        <w:t xml:space="preserve">b) Abschlussaufwendungen für Pensionsfondsverträge;</w:t>
      </w:r>
    </w:p>
    <w:p>
      <w:pPr>
        <w:ind w:left="780"/>
      </w:pPr>
      <w:r>
        <w:t xml:space="preserve">c) Verwaltungsaufwendungen für Pensionsfondsverträge;</w:t>
      </w:r>
    </w:p>
    <w:p>
      <w:pPr>
        <w:ind w:left="780"/>
      </w:pPr>
      <w:r>
        <w:t xml:space="preserve">d) Verwaltungsaufwendungen für Kapitalanlagen;</w:t>
      </w:r>
    </w:p>
    <w:p>
      <w:pPr>
        <w:ind w:left="780"/>
      </w:pPr>
      <w:r>
        <w:t xml:space="preserve">e) sonstige pensionsfondstechnische Aufwendungen, die keinem dieser Funktionsbereiche zugeordnet werden können;</w:t>
      </w:r>
    </w:p>
    <w:p>
      <w:pPr>
        <w:ind w:left="780"/>
      </w:pPr>
      <w:r>
        <w:t xml:space="preserve">f) sonstige nicht pensionsfondstechnische Aufwendungen im Rahmen der gewöhnlichen Geschäftstätigkeit.</w:t>
      </w:r>
    </w:p>
    <w:p>
      <w:pPr>
        <w:ind w:left="420"/>
      </w:pPr>
      <w:r>
        <w:t xml:space="preserve">2. Bruttozahlungen in Form von Bar- und Sachbezügen an die Beschäftigten (siehe Anmerkung 9) ohne jeden Abzug. Die Beträge verstehen sich einschließlich Arbeitnehmeranteilen zur gesetzlichen Sozialversicherung, jedoch ohne Arbeitgeberanteile. Einzubeziehen sind sämtliche Zuschläge, wie Superprovisionen an Angestellte, Tantiemen, Mietbeihilfen und Wohnungszuschüsse, Vergütungen für Feiertage, Urlaub und dgl., Entgeltfortzahlungen bei Krankheit sowie Zuschüsse zum Krankengeld, Fahrtkostenzuschüsse, Urlaubsbeihilfen, Entschädigungen, vermögenswirksame Leistungen, Auslösungen (sofern Lohnsteuer entrichtet wurde), familienbezogene Entgeltbestandteile und Abfindungen. Bezüge von Vorstandsmitgliedern und anderen Führungskräften, die steuerrechtlich als Einkünfte aus nichtselbständiger Arbeit zu behandeln sind, sind ebenfalls einzubeziehen. Nicht zu den Bruttoentgelten gehört die freiwillige Beteiligung des Arbeitgebers an den sozialen Abgaben des Arbeitnehmers. Ebenfalls nicht einzubeziehen sind Aufwendungen für Leiharbeitnehmer und freie Pensionsfondsvertreter sowie Mitglieder des Aufsichtsrats (vgl. Anmerkungen 4, 6 und 7).</w:t>
      </w:r>
    </w:p>
    <w:p>
      <w:pPr>
        <w:ind w:left="420"/>
      </w:pPr>
      <w:r>
        <w:t xml:space="preserve">3. Gesetzliche und übrige Sozialaufwendungen: Arbeitgeberanteile zur Renten-, Arbeitslosen-, Kranken- und Pflegeversicherung; Beiträge zur Berufsgenossenschaft; gesetzlich vorgeschriebene Beiträge zur Krankenversicherung nichtversicherungspflichtiger Angestellter; auf tariflicher oder vertraglicher Grundlage beruhende bzw. freiwillig gewährte Leistungen des Arbeitgebers, soweit sie nicht der Lohnsteuerpflicht unterliegen (z. B. Aufwendungen für die betriebliche Altersversorgung, Beiträge zur Aus- und Fortbildung, Beihilfen und Zuschüsse im Krankheitsfall, laufende Zuschüsse für Verpflegung bei Praktika, Entschädigungen für doppelte Haushaltsführung und Umzugskostenvergütungen). Nicht hierzu gehören Entgeltzahlung bei Krankheit, Urlaub oder Mutterschaft sowie den Pensionsfondsvertretern gewährte Altersversorgungs- und andere Sozialleistungen.</w:t>
      </w:r>
    </w:p>
    <w:p>
      <w:pPr>
        <w:ind w:left="420"/>
      </w:pPr>
      <w:r>
        <w:t xml:space="preserve">4. Hierunter sind auch die an Makler gezahlten Courtagen sowie Provisionen für das an andere Unternehmen vermittelte Bauspargeschäft und sonstige Finanzdienstleistungsgeschäfte auszuweisen. Aufwendungen für die Altersversorgung der freien Pensionsfondsvertreter einschließlich der sogenannten Provisionsrenten sind ebenfalls einzubeziehen.</w:t>
      </w:r>
    </w:p>
    <w:p>
      <w:pPr>
        <w:ind w:left="420"/>
      </w:pPr>
      <w:r>
        <w:t xml:space="preserve">5. Als sonstiger Sachaufwand sind alle weiteren Aufwendungen für bezogene Dienstleistungen und Waren auszuweisen, die für betriebliche Zwecke verbraucht werden. Hierzu gehören auch die gesamten Vergütungen an den Aufsichtsrat und den Beirat sowie die dem Pensionsfonds innerhalb der Unternehmensgruppe angelasteten Zentralverwaltungsaufwendungen. Ferner gehören hierzu die externen Aufwendungen für die Regulierung von Versorgungsfällen, Rückkäufen, Rückgewährbeträgen und Austrittsvergütungen. Anzugeben sind weiterhin Aufwendungen für Leiharbeitnehmer, für Mieten, Pachten und Leasing, für Bürobedarf und IT-Dienstleistungen sowie Reise- und Werbeaufwand. Nicht anzugeben sind Investitionen in Sachanlagen und immaterielle Vermögensgegenstände sowie die kalkulatorischen Mietaufwendungen für die eigengenutzten Grundstücke und Gebäude (vgl. Anmerkung 7 hinsichtlich der Abschreibungen auf Gebäude).</w:t>
      </w:r>
    </w:p>
    <w:p>
      <w:pPr>
        <w:ind w:left="420"/>
      </w:pPr>
      <w:r>
        <w:t xml:space="preserve">6. Aufwendungen an Zeitarbeitsfirmen und ähnliche Einrichtungen für die Überlassung von Arbeitskräften, wobei die überlassenen Arbeitskräfte bei den jeweiligen Unternehmen, die die Personaldienstleistungen erbringen, beschäftigt bleiben und von ihnen vergütet werden. Für statistische Zwecke ist hierunter auch das innerhalb der Unternehmensgruppe im Rahmen von Dienstleistungsverträgen ausgetauschte Personal zu erfassen, sofern es von dem überlassenden Unternehmen keine fachlichen Weisungen erhält, d. h. das überlassende Unternehmen sich auf personalwirtschaftliche Tätigkeiten beschränkt. Überlässt hingegen eine Führungsholding Arbeitskräfte an Tochtergesellschaften, um Führungsfunktionen der Holding umzusetzen oder zu unterstützen, sind diese Aufwendungen nicht hier, sondern lediglich als sonstiger Sachaufwand anzugeben. Aufwendungen für alle weiteren überlassenen Arbeitskräfte sind hingegen hier anzugeben. Nicht anzugeben sind bezogene Dienstleistungen auf Basis von Werkverträgen.</w:t>
      </w:r>
    </w:p>
    <w:p>
      <w:pPr>
        <w:ind w:left="420"/>
      </w:pPr>
      <w:r>
        <w:t xml:space="preserve">7. Hierunter fallen</w:t>
      </w:r>
    </w:p>
    <w:p>
      <w:pPr>
        <w:ind w:left="780"/>
      </w:pPr>
      <w:r>
        <w:t xml:space="preserve">a) Abschreibungen auf erworbene oder selbst erstellte Sachanlagen für betriebliche Zwecke, einschließlich auf eigengenutzte Gebäude,</w:t>
      </w:r>
    </w:p>
    <w:p>
      <w:pPr>
        <w:ind w:left="780"/>
      </w:pPr>
      <w:r>
        <w:t xml:space="preserve">b) Abschreibungen auf aktivierte Aufwendungen für die Ingangsetzung und Erweiterung des Geschäftsbetriebs,</w:t>
      </w:r>
    </w:p>
    <w:p>
      <w:pPr>
        <w:ind w:left="780"/>
      </w:pPr>
      <w:r>
        <w:t xml:space="preserve">c) Abschreibungen auf die unter den sonstigen immateriellen Vermögensgegenständen ausgewiesenen Kaufpreise für den Erwerb von Gesamt- oder Teil-Versicherungsbeständen sowie erworbene oder selbst geschaffene EDV-Software,</w:t>
      </w:r>
    </w:p>
    <w:p>
      <w:pPr>
        <w:ind w:left="780"/>
      </w:pPr>
      <w:r>
        <w:t xml:space="preserve">d) sonstige Abschreibungen, soweit sie nicht zu den Abschreibungen auf Kapitalanlagen gehören und unter den sonstigen Aufwendungen auszuweisen sind oder bei den „Gebuchten Bruttobeiträgen“ als Abzugsposten zu behandeln sind,</w:t>
      </w:r>
    </w:p>
    <w:p>
      <w:pPr>
        <w:ind w:left="780"/>
      </w:pPr>
      <w:r>
        <w:t xml:space="preserve">e) Abschreibungen auf selbst geschaffene gewerbliche Schutzrechte und entgeltlich erworbene Konzessionen und Schutzrechte sowie Lizenzen daran.</w:t>
      </w:r>
    </w:p>
    <w:p>
      <w:pPr>
        <w:ind w:left="420"/>
      </w:pPr>
      <w:r>
        <w:t xml:space="preserve">8. Als Beschäftigte sind alle Personen zu erfassen, die im Laufe des Geschäftsjahres in einem Arbeits- oder vergleichbaren Dienstverhältnis mit dem Pensionsfonds gestanden und Bezüge erhalten haben, die steuerrechtlich als Einkünfte aus nichtselbständiger Arbeit zu behandeln sind. Dazu gehören Arbeitnehmer im Innen- und Außendienst, Beamte, Vorstandsmitglieder, Geschäftsführer und andere leitende Kräfte, Auszubildende und Praktikanten. Ruhende Dienstverhältnisse sind nicht zu erfassen. Beschäftigte, die Arbeits- bzw. Dienstverträge mit mehreren Unternehmen haben und von diesen Bezüge erhalten, sind bei dem jeweiligen Unternehmen als Teilzeitbeschäftigte zu erfassen. Die Zahl der Beschäftigten ist im Jahresdurchschnitt auszuweisen. Liegen diese Angaben nicht vor, kann die Zahl am Ende des Geschäftsjahres angegeben werden.</w:t>
      </w:r>
    </w:p>
    <w:p>
      <w:pPr>
        <w:ind w:left="420"/>
      </w:pPr>
      <w:r>
        <w:t xml:space="preserve">9. Berechnung der Vollzeiteinheiten (VZE) in Spalte SP0040: Summe der vertraglich vereinbarten Wochenarbeitsstunden aller Teilzeitbeschäftigten dividiert durch die geltende reguläre Wochenarbeitszeit eines Vollzeitbeschäftigten. Das Ergebnis ist kaufmännisch zu runden. Beispiel: Fünf Teilzeitbeschäftigte à 20 Stunden ergeben bei einer regulären Wochenarbeitszeit eines Vollzeitbeschäftigten im Unternehmen von 40 Stunden zusammen 2,5 VZE. Einzutragen sind 3 VZE. Liegt ein Arbeits- bzw. Dienstvertrag mit mehreren Unternehmen vor, sind die Teilzeitbeschäftigten bei jedem Unternehmen in der Personenzahl zu berücksichtigen. In die Berechnung der VZE sind nur die bei dem jeweiligen Unternehmen geleisteten Wochenarbeitsstunden in die Berechnung einzubeziehen.</w:t>
      </w:r>
    </w:p>
    <w:p>
      <w:r>
        <w:t xml:space="preserve">Nr. 5: Formular F.803.01</w:t>
      </w:r>
    </w:p>
    <w:p>
      <w:pPr>
        <w:ind w:left="420"/>
      </w:pPr>
      <w:r>
        <w:t xml:space="preserve">1. Dieser Posten entspricht der Summe der Passivseite der Bilanz abzüglich der Verbindlichkeiten aus Hypotheken, Grund- und Rentenschulden.</w:t>
      </w:r>
    </w:p>
    <w:p>
      <w:pPr>
        <w:ind w:left="420"/>
      </w:pPr>
      <w:r>
        <w:t xml:space="preserve">2. Die Gesamtbeträge für die einzelnen Posten in Spalte SP0010 müssen mit den jeweiligen Bilanzwerten übereinstimmen.</w:t>
      </w:r>
    </w:p>
    <w:p>
      <w:pPr>
        <w:ind w:left="420"/>
      </w:pPr>
      <w:r>
        <w:t xml:space="preserve">3. In Spalte SP0010 ist der Bilanzwert der Kapitalanlagen abzüglich der Verbindlichkeiten aus Hypotheken, Grund- und Rentenschulden anzugeben. Dabei sind die Bilanzwerte der Grundstücke und grundstücksgleichen Rechte abzüglich der auf ihnen ruhenden Hypotheken, Grund- und Rentenschulden anzusetzen.Grundstücke und grundstücksgleiche Rechte, die zum Sicherungsvermögen gehören, sind in Spalte SP0020 mit ihren Anrechnungswerten für das Sicherungsvermögen anzusetzen. Wenn der Anrechnungswert geringer ist als der Bilanzwert, ist die Differenz als restliches Vermögen auszuweisen. Sofern der Anrechnungswert höher ist als der Bilanzwert, ist die Differenz in Spalte SP0040 als Minusposten anzusetzen.</w:t>
      </w:r>
    </w:p>
    <w:p>
      <w:pPr>
        <w:ind w:left="420"/>
      </w:pPr>
      <w:r>
        <w:t xml:space="preserve">4. Forderungen an Lebensversicherungsunternehmen aus noch nicht abgewickelten Versicherungsfällen können in Spalte SP0020 ausgewiesen werden.</w:t>
      </w:r>
    </w:p>
    <w:p>
      <w:pPr>
        <w:ind w:left="420"/>
      </w:pPr>
      <w:r>
        <w:t xml:space="preserve">5. In diesem Bilanzposten enthaltene rückständige Zins- und Mietforderungen können in Spalte SP0020, alle übrigen sonstigen Forderungen dürfen nur in Spalte SP0040 eingesetzt werden.</w:t>
      </w:r>
    </w:p>
    <w:p>
      <w:pPr>
        <w:ind w:left="420"/>
      </w:pPr>
      <w:r>
        <w:t xml:space="preserve">6. In diesem Bilanzposten enthaltene vorausgezahlte Versorgungsleistungen können in Spalte SP0020, alle übrigen sonstigen Forderungen dürfen nur in Spalte SP0040 eingesetzt werden.</w:t>
      </w:r>
    </w:p>
    <w:p>
      <w:pPr>
        <w:ind w:left="420"/>
      </w:pPr>
      <w:r>
        <w:t xml:space="preserve">7. Dieser Posten entspricht der Summe der Aktivseite der Bilanz abzüglich der vom Bilanzwert der Kapitalanlagen abzusetzenden Verbindlichkeiten aus Hypotheken, Grund- und Rentenschulden.</w:t>
      </w:r>
    </w:p>
    <w:p>
      <w:r>
        <w:t xml:space="preserve">Nr. 6: Formular F.804.01</w:t>
      </w:r>
    </w:p>
    <w:p>
      <w:pPr>
        <w:ind w:left="420"/>
      </w:pPr>
      <w:r>
        <w:t xml:space="preserve">1. Diese Nachweisung ist vorzulegen</w:t>
      </w:r>
    </w:p>
    <w:p>
      <w:pPr>
        <w:ind w:left="780"/>
      </w:pPr>
      <w:r>
        <w:t xml:space="preserve">a) für die Verpflichtungen in Euro,</w:t>
      </w:r>
    </w:p>
    <w:p>
      <w:pPr>
        <w:ind w:left="780"/>
      </w:pPr>
      <w:r>
        <w:t xml:space="preserve">b) für die Verpflichtungen in einer Währung eines Mitgliedstaates, dessen Währung nicht Euro ist, oder eines anderen Vertragsstaates, soweit in dieser Währung Vermögenswerte angelegt werden müssten, die mehr als 7 Prozent der in anderen Währungen vorhandenen Vermögenswerte des Unternehmens ausmachen,</w:t>
      </w:r>
    </w:p>
    <w:p>
      <w:pPr>
        <w:ind w:left="780"/>
      </w:pPr>
      <w:r>
        <w:t xml:space="preserve">c) für die Verpflichtungen in Schweizer Franken und in US-Dollar, soweit in dieser Währung Vermögenswerte angelegt werden müssten, die jeweils mehr als 7 Prozent der in anderen Währungen vorhandenen Vermögenswerte des Unternehmens ausmachen.</w:t>
      </w:r>
    </w:p>
    <w:p>
      <w:pPr>
        <w:ind w:left="420"/>
      </w:pPr>
      <w:r>
        <w:t xml:space="preserve">Dabei ist für die Kennzeichnung der Währung die entsprechende Kennzahl gemäß Anlage 1 unter Beachtung von Abschnitt C Ziffer 2.1 zu verwenden.</w:t>
      </w:r>
    </w:p>
    <w:p>
      <w:pPr>
        <w:ind w:left="420"/>
      </w:pPr>
      <w:r>
        <w:t xml:space="preserve">2. Das Formular F.804.01 stellt ein vereinfachtes Formular F.803.01 (Sicherungsvermögen und restliches Vermögen) dar. Die Positionen der Zeilen ZE0180 und ZE0210 des Formulars F.803.01 werden im Formular F.804.01 in Zeile ZE0180 inhaltlich zusammengefasst. Die Positionen der Zeilen ZE0290, ZE0310, ZE0320, ZE0330, ZE0340, ZE0350, ZE0370, ZE0380 und ZE0390 des Formulars F.803.01 sind in anderer Aufteilung in den Zeilen ZE0210, ZE0230, ZE0240, ZE0250 und ZE0260 des Formulars F.804.01 zu finden.</w:t>
      </w:r>
    </w:p>
    <w:p>
      <w:pPr>
        <w:ind w:left="420"/>
      </w:pPr>
      <w:r>
        <w:t xml:space="preserve">3. Die Bilanzwerte der Grundstücke und grundstücksgleichen Rechte sind abzüglich der auf ihnen ruhenden Hypotheken, Grund- und Rentenschulden anzusetzen.Grundstücke und grundstücksgleiche Rechte, die zum Sicherungsvermögen gehören, sind in Spalte SP0020 mit ihren Anrechnungswerten für das Sicherungsvermögen anzusetzen. Wenn der Anrechnungswert geringer ist als der Bilanzwert, ist die Differenz als restliches Vermögen auszuweisen. Sofern der Anrechnungswert höher ist als der Bilanzwert, ist die Differenz in Spalte SP0040 als Minusposten anzusetzen.</w:t>
      </w:r>
    </w:p>
    <w:p>
      <w:pPr>
        <w:ind w:left="420"/>
      </w:pPr>
      <w:r>
        <w:t xml:space="preserve">4. Bei Aktien und Anteilen, die in mehreren Ländern an einer Börse zum amtlichen Handel zugelassen oder in einen organisierten Markt einbezogen sind, kann jeder Vermögenswert nur zur Bedeckung der Währung eines Landes herangezogen werden. Diese Vermögenswerte sind hier auszuweisen.</w:t>
      </w:r>
    </w:p>
    <w:p>
      <w:pPr>
        <w:ind w:left="420"/>
      </w:pPr>
      <w:r>
        <w:t xml:space="preserve">5. Soweit Verpflichtungen des Sicherungsvermögens in der Währung eines Mitgliedstaates zu erfüllen sind, kann die Bedeckung bis zu 50 Prozent durch Vermögenswerte erfolgen, die auf Euro lauten, soweit dies nach vernünftiger kaufmännischer Beurteilung gerechtfertigt ist, vgl. Anlage 3 Nummer 7. Dabei kann jeder Vermögenswert nur zur Bedeckung der Währung eines Landes herangezogen werden. Diese Vermögenswerte sind hier auszuweisen.</w:t>
      </w:r>
    </w:p>
    <w:p>
      <w:pPr>
        <w:ind w:left="420"/>
      </w:pPr>
      <w:r>
        <w:t xml:space="preserve">6. Die Gesamtbeträge für die einzelnen Posten in Spalte SP0010 müssen mit den jeweiligen anteiligen Bilanzwerten übereinstimmen.</w:t>
      </w:r>
    </w:p>
    <w:p>
      <w:r>
        <w:t xml:space="preserve">Nr. 7: Formular F.811.01</w:t>
      </w:r>
    </w:p>
    <w:p>
      <w:pPr>
        <w:ind w:left="420"/>
      </w:pPr>
      <w:r>
        <w:t xml:space="preserve">1. Auf Grund der Aufhebung des § 247 Absatz 3 HGB durch das Bilanzrechtsmodernisierungsgesetz ist die Bildung eines Sonderpostens mit Rücklagenanteil künftig nicht mehr möglich.</w:t>
      </w:r>
    </w:p>
    <w:p>
      <w:r>
        <w:t xml:space="preserve">Nr. 8: Formular F.820.01</w:t>
      </w:r>
    </w:p>
    <w:p>
      <w:pPr>
        <w:ind w:left="420"/>
      </w:pPr>
      <w:r>
        <w:t xml:space="preserve">1. Hierunter sind überwiegend von Arbeitgebern genutzte Grundstücke auszuweisen.</w:t>
      </w:r>
    </w:p>
    <w:p>
      <w:r>
        <w:t xml:space="preserve">Nr. 9: Formular F.830.01</w:t>
      </w:r>
    </w:p>
    <w:p>
      <w:pPr>
        <w:ind w:left="420"/>
      </w:pPr>
      <w:r>
        <w:t xml:space="preserve">1. Die Angaben zur Anzahl beziehen sich auf die versorgungsberechtigten natürlichen Personen. Bestehen für eine Person mehrere Versorgungsverhältnisse, beispielsweise aus mehreren Pensionsplänen, so ist die Person (als Anwärter und/oder Rentner) nur einmal zu erfassen. Entsprechendes gilt für die Erfassung von Personen als Zu- oder Abgang.</w:t>
      </w:r>
    </w:p>
    <w:p>
      <w:pPr>
        <w:ind w:left="420"/>
      </w:pPr>
      <w:r>
        <w:t xml:space="preserve">2. Zum Beispiel Reaktivierung, Wiederinkraftsetzung.</w:t>
      </w:r>
    </w:p>
    <w:p>
      <w:pPr>
        <w:ind w:left="420"/>
      </w:pPr>
      <w:r>
        <w:t xml:space="preserve">3. Die Davon-Vermerke der Zeilen ZE0170 bis ZE0190, ZE0200, ZE0210, ZE0220, ZE0230 bis ZE0240 sowie ZE0250 bis ZE0260 beziehen sich jeweils auf den Bestand am Ende des Geschäftsjahres in Zeile ZE0160.</w:t>
      </w:r>
    </w:p>
    <w:p>
      <w:pPr>
        <w:ind w:left="420"/>
      </w:pPr>
      <w:r>
        <w:t xml:space="preserve">4. Hier ist die Anzahl der Versorgungsanwärter anzugeben, die neben der Anwartschaft auf Altersversorgung nur eine Anwartschaft auf Invaliditätsversorgung besitzen.</w:t>
      </w:r>
    </w:p>
    <w:p>
      <w:pPr>
        <w:ind w:left="420"/>
      </w:pPr>
      <w:r>
        <w:t xml:space="preserve">5. Hier ist die Anzahl der Versorgungsanwärter anzugeben, die neben der Anwartschaft auf Altersversorgung nur eine Anwartschaft auf Hinterbliebenenversorgung besitzen.</w:t>
      </w:r>
    </w:p>
    <w:p>
      <w:pPr>
        <w:ind w:left="420"/>
      </w:pPr>
      <w:r>
        <w:t xml:space="preserve">6. Hier ist die Anzahl der Versorgungsanwärter anzugeben, die neben der Anwartschaft auf Altersversorgung eine Anwartschaft auf Invaliditäts- und Hinterbliebenenversorgung besitzen.</w:t>
      </w:r>
    </w:p>
    <w:p>
      <w:pPr>
        <w:ind w:left="420"/>
      </w:pPr>
      <w:r>
        <w:t xml:space="preserve">7. Hier ist die Anzahl der Versorgungsanwärter anzugeben, für die keine Beitragszahlung mehr zu erwarten ist.</w:t>
      </w:r>
    </w:p>
    <w:p>
      <w:pPr>
        <w:ind w:left="420"/>
      </w:pPr>
      <w:r>
        <w:t xml:space="preserve">8. Hier sind Eintragungen vorzunehmen, sofern zur Deckung der Verpflichtungen gegenüber den Versorgungsberechtigten Verträge bei Lebensversicherungsunternehmen abgeschlossen wurden.</w:t>
      </w:r>
    </w:p>
    <w:p>
      <w:pPr>
        <w:ind w:left="420"/>
      </w:pPr>
      <w:r>
        <w:t xml:space="preserve">9. Pensionspläne sind beitragsbezogen, wenn mit ihnen eine Zusage des Arbeitgebers nach § 1 Absatz 2 Nummer 2 des Betriebsrentengesetzes durchgeführt wird.</w:t>
      </w:r>
    </w:p>
    <w:p>
      <w:pPr>
        <w:ind w:left="420"/>
      </w:pPr>
      <w:r>
        <w:t xml:space="preserve">10. Pensionspläne sind leistungsbezogen, wenn mit ihnen eine Zusage des Arbeitgebers nach § 1 Absatz 1 Satz 1 oder Absatz 2 Nummer 1 des Betriebsrentengesetzes durchgeführt wird.</w:t>
      </w:r>
    </w:p>
    <w:p>
      <w:pPr>
        <w:ind w:left="420"/>
      </w:pPr>
      <w:r>
        <w:t xml:space="preserve">11. Zum Beispiel Wiederinkraftsetzung sowie Erhöhung der Rente.</w:t>
      </w:r>
    </w:p>
    <w:p>
      <w:pPr>
        <w:ind w:left="420"/>
      </w:pPr>
      <w:r>
        <w:t xml:space="preserve">12. Die Davon-Vermerke der Zeilen ZE0420, ZE0430, ZE0440 sowie ZE0450 bis ZE0460 beziehen sich jeweils auf den Bestand am Ende des Geschäftsjahres in Zeile ZE0400.</w:t>
      </w:r>
    </w:p>
    <w:p>
      <w:pPr>
        <w:ind w:left="420"/>
      </w:pPr>
      <w:r>
        <w:t xml:space="preserve">13. Hat die Phase der Restverrentung bereits begonnen, so ist die Eintragung in der Zeile „lebenslange Zahlungen“ vorzunehmen.</w:t>
      </w:r>
    </w:p>
    <w:p>
      <w:pPr>
        <w:ind w:left="420"/>
      </w:pPr>
      <w:r>
        <w:t xml:space="preserve">14. Einzusetzen ist hier der Betrag der im Folgejahr planmäßig zu zahlenden Renten bzw. – bei Auszahlungsplänen – Raten (entsprechend der Deckungsrückstellung).</w:t>
      </w:r>
    </w:p>
    <w:p>
      <w:pPr>
        <w:ind w:left="420"/>
      </w:pPr>
      <w:r>
        <w:t xml:space="preserve">15. Die Davon-Vermerke der Zeilen ZE0680, ZE0690 sowie ZE0700 bis ZE0710 beziehen sich jeweils auf den Bestand am Ende des Geschäftsjahres in Zeile ZE0660.</w:t>
      </w:r>
    </w:p>
    <w:p>
      <w:r>
        <w:t xml:space="preserve">Nr. 10: Formular F.842.01</w:t>
      </w:r>
    </w:p>
    <w:p>
      <w:pPr>
        <w:ind w:left="420"/>
      </w:pPr>
      <w:r>
        <w:t xml:space="preserve">1. Dieses Formular ist vorzulegen</w:t>
      </w:r>
    </w:p>
    <w:p>
      <w:pPr>
        <w:ind w:left="780"/>
      </w:pPr>
      <w:r>
        <w:t xml:space="preserve">a) für das gesamte in den Mitgliedstaaten oder in einem anderen Vertragsstaat betriebene PFG,</w:t>
      </w:r>
    </w:p>
    <w:p>
      <w:pPr>
        <w:ind w:left="780"/>
      </w:pPr>
      <w:r>
        <w:t xml:space="preserve">b) für das betriebene PFG in jedem Mitgliedstaat sowie in jedem Vertragsstaat;</w:t>
      </w:r>
    </w:p>
    <w:p>
      <w:pPr>
        <w:ind w:left="420"/>
      </w:pPr>
      <w:r>
        <w:t xml:space="preserve">dabei ist für die Kennzeichnung des jeweiligen Mitglied- oder Vertragsstaates und des gesamten PFG im Feld „Herkunft des PFG“ die entsprechende Kennzahl gemäß Anlage 1 unter Beachtung von Abschnitt C Ziffer 2.3 zu verwenden.</w:t>
      </w:r>
    </w:p>
    <w:p>
      <w:pPr>
        <w:ind w:left="420"/>
      </w:pPr>
      <w:r>
        <w:t xml:space="preserve">2. Einschließlich der Rückstellung für noch nicht abgewickelte beendete Pensionsfondsverträge und Versorgungsverhältnisse.</w:t>
      </w:r>
    </w:p>
    <w:p>
      <w:pPr>
        <w:ind w:left="420"/>
      </w:pPr>
      <w:r>
        <w:t xml:space="preserve">3. Die Davon-Vermerke der Zeilen ZE0160 und ZE0170 beziehen sich auf die Anzahl der Anwärter in Zeile ZE0140.</w:t>
      </w:r>
    </w:p>
    <w:p>
      <w:pPr>
        <w:ind w:left="420"/>
      </w:pPr>
      <w:r>
        <w:t xml:space="preserve">4. Pensionspläne sind beitragsbezogen, wenn mit ihnen eine Zusage des Arbeitgebers nach § 1 Absatz 2 Nummer 2 des Betriebsrentengesetzes durchgeführt wird.</w:t>
      </w:r>
    </w:p>
    <w:p>
      <w:pPr>
        <w:ind w:left="420"/>
      </w:pPr>
      <w:r>
        <w:t xml:space="preserve">5. Pensionspläne sind leistungsbezogen, wenn mit ihnen eine Zusage des Arbeitgebers nach § 1 Absatz 1 Satz 1 oder Absatz 2 Nummer 1 des Betriebsrentengesetzes durchgeführt wird.</w:t>
      </w:r>
    </w:p>
    <w:p>
      <w:r>
        <w:t xml:space="preserve">Nr. 11: Formular F.850.01</w:t>
      </w:r>
    </w:p>
    <w:p>
      <w:pPr>
        <w:ind w:left="420"/>
      </w:pPr>
      <w:r>
        <w:t xml:space="preserve">1. Das Formular ist von allen Pensionsfonds einzureichen, die Pensionsfondsgeschäft in Rückversicherung gegeben haben.Angaben zu einzelnen Unternehmen oder Maklern können unterbleiben, sofern das betreffende Pensionsfondsgeschäft weniger als 2 Prozent der Bruttobeiträge ausmacht. Über dieses Geschäft ist jeweils zusammengefasst zu berichten.</w:t>
      </w:r>
    </w:p>
    <w:p>
      <w:pPr>
        <w:ind w:left="420"/>
      </w:pPr>
      <w:r>
        <w:t xml:space="preserve">2. Abrechnungsforderungen sind mit einem Pluszeichen (+), Abrechnungsverbindlichkeiten mit einem Minuszeichen (–) zu versehen.</w:t>
      </w:r>
    </w:p>
    <w:p>
      <w:pPr>
        <w:ind w:left="420"/>
      </w:pPr>
      <w:r>
        <w:t xml:space="preserve">3. Der Gesamtsaldo ergibt sich wie folgt: Zeile ZE0040 – Zeile ZE0060 +/– Zeile ZE0080. Der sich ergebende Saldo ist entsprechend Anmerkung 2 zu kennzeichnen.</w:t>
      </w:r>
    </w:p>
    <w:p>
      <w:pPr>
        <w:ind w:left="420"/>
      </w:pPr>
      <w:r>
        <w:t xml:space="preserve">4. Das Formular ist für jede Rückversicherungsbeziehung vorzulegen. Die Rückversicherungsbeziehungen sind fortlaufend zu nummerieren. Zur Kennzeichnung der Rückversicherungsbeziehung ist die fortlaufende dreistellige Nummer entsprechend Abschnitt C Ziffer 2.4 zu verwenden.</w:t>
      </w:r>
    </w:p>
    <w:p>
      <w:pPr>
        <w:ind w:left="420"/>
      </w:pPr>
      <w:r>
        <w:t xml:space="preserve">5. Hier ist die Nummer einzutragen, unter der die Erst- und Rückversicherungsunternehmen bzw. Rückversicherungsmakler (sowohl inländische als auch ausländische) bei der BaFin geführt werden. Rückversicherungsmakler sind nur dann aufzuführen, wenn diese dem berichtenden Pensionsfonds die das Versicherungsrisiko tragenden Versicherungsunternehmen nicht bekannt gegeben haben. Die Nummern für die einzelnen Unternehmen und Rückversicherungsmakler können bei der BaFin, die die entsprechenden Listen führt, abgefragt werden. Die Nummer für das Geschäft, über das nach Anmerkung 1 Absatz 2 Satz 2 zusammengefasst berichtet werden kann, lautet 6000.</w:t>
      </w:r>
    </w:p>
    <w:p>
      <w:r>
        <w:t xml:space="preserve">Nr. 12: Anmerkungen zum Formular F.882.01</w:t>
      </w:r>
    </w:p>
    <w:p>
      <w:pPr>
        <w:ind w:left="420"/>
      </w:pPr>
      <w:r>
        <w:t xml:space="preserve">1. In allen Datenfeldern sind grundsätzlich kumulierte Werte einzutragen, d. h. es können die statistisch fortgeschriebenen Stückzahlen bzw. die auf den entsprechenden Konten bis zum Halbjahresende aufgelaufenen Beträge verwendet werden.</w:t>
      </w:r>
    </w:p>
    <w:p>
      <w:pPr>
        <w:ind w:left="420"/>
      </w:pPr>
      <w:r>
        <w:t xml:space="preserve">2. Die Davon-Vermerke in den Zeilen ZE0050 und ZE0060 beziehen sich auf die Anzahl der Versorgungsberechtigten in Zeile ZE0030.</w:t>
      </w:r>
    </w:p>
    <w:p>
      <w:pPr>
        <w:ind w:left="420"/>
      </w:pPr>
      <w:r>
        <w:t xml:space="preserve">3. Pensionspläne sind beitragsbezogen, wenn mit ihnen eine Zusage des Arbeitgebers nach § 1 Absatz 2 Nummer 2 des Betriebsrentengesetzes durchgeführt wird.</w:t>
      </w:r>
    </w:p>
    <w:p>
      <w:pPr>
        <w:ind w:left="420"/>
      </w:pPr>
      <w:r>
        <w:t xml:space="preserve">4. Pensionspläne sind leistungsbezogen, wenn mit ihnen eine Zusage des Arbeitgebers nach § 1 Absatz 1 Satz 1 oder Absatz 2 Nummer 1 des Betriebsrentengesetzes durchgeführt wird.</w:t>
      </w:r>
    </w:p>
    <w:p>
      <w:pPr>
        <w:ind w:left="420"/>
      </w:pPr>
      <w:r>
        <w:t xml:space="preserve">5. Einschließlich der Aufwendungen für beendete Pensionsfondsverträge und Versorgungsverhältnisse.</w:t>
      </w:r>
    </w:p>
    <w:p>
      <w:r>
        <w:t xml:space="preserve">Abschnitt BVerzeichnis der in den Formularen und Anmerkungen verwendeten Abkürzungen</w:t>
      </w:r>
    </w:p>
    <w:p>
      <w:r>
        <w:rPr>
          <w:rFonts w:ascii="Courier New" w:hAnsi="Courier New"/>
          <w:sz w:val="17"/>
        </w:rPr>
        <w:t xml:space="preserve">abgegebenes PFG    in Rückversicherung gegebenes Pensionsfondsgeschäft</w:t>
      </w:r>
    </w:p>
    <w:p>
      <w:r>
        <w:rPr>
          <w:rFonts w:ascii="Courier New" w:hAnsi="Courier New"/>
          <w:sz w:val="17"/>
        </w:rPr>
        <w:t xml:space="preserve">Abs.    Absatz</w:t>
      </w:r>
    </w:p>
    <w:p>
      <w:r>
        <w:rPr>
          <w:rFonts w:ascii="Courier New" w:hAnsi="Courier New"/>
          <w:sz w:val="17"/>
        </w:rPr>
        <w:t xml:space="preserve">AktG    Aktiengesetz</w:t>
      </w:r>
    </w:p>
    <w:p>
      <w:r>
        <w:rPr>
          <w:rFonts w:ascii="Courier New" w:hAnsi="Courier New"/>
          <w:sz w:val="17"/>
        </w:rPr>
        <w:t xml:space="preserve">AN    Arbeitnehmer(n)</w:t>
      </w:r>
    </w:p>
    <w:p>
      <w:r>
        <w:rPr>
          <w:rFonts w:ascii="Courier New" w:hAnsi="Courier New"/>
          <w:sz w:val="17"/>
        </w:rPr>
        <w:t xml:space="preserve">Arbg.    Arbeitgeber(n)</w:t>
      </w:r>
    </w:p>
    <w:p>
      <w:r>
        <w:rPr>
          <w:rFonts w:ascii="Courier New" w:hAnsi="Courier New"/>
          <w:sz w:val="17"/>
        </w:rPr>
        <w:t xml:space="preserve">BaFin    Bundesanstalt für Finanzdienstleistungsaufsicht</w:t>
      </w:r>
    </w:p>
    <w:p>
      <w:r>
        <w:rPr>
          <w:rFonts w:ascii="Courier New" w:hAnsi="Courier New"/>
          <w:sz w:val="17"/>
        </w:rPr>
        <w:t xml:space="preserve">BBÜ    Brutto-Beitragsüberträge</w:t>
      </w:r>
    </w:p>
    <w:p>
      <w:r>
        <w:rPr>
          <w:rFonts w:ascii="Courier New" w:hAnsi="Courier New"/>
          <w:sz w:val="17"/>
        </w:rPr>
        <w:t xml:space="preserve">BÜ    Beitragsüberträge</w:t>
      </w:r>
    </w:p>
    <w:p>
      <w:r>
        <w:rPr>
          <w:rFonts w:ascii="Courier New" w:hAnsi="Courier New"/>
          <w:sz w:val="17"/>
        </w:rPr>
        <w:t xml:space="preserve">bzw.    beziehungsweise</w:t>
      </w:r>
    </w:p>
    <w:p>
      <w:r>
        <w:rPr>
          <w:rFonts w:ascii="Courier New" w:hAnsi="Courier New"/>
          <w:sz w:val="17"/>
        </w:rPr>
        <w:t xml:space="preserve">DL    Dienstleistung(en)</w:t>
      </w:r>
    </w:p>
    <w:p>
      <w:r>
        <w:rPr>
          <w:rFonts w:ascii="Courier New" w:hAnsi="Courier New"/>
          <w:sz w:val="17"/>
        </w:rPr>
        <w:t xml:space="preserve">DR    Deckungsrückstellung</w:t>
      </w:r>
    </w:p>
    <w:p>
      <w:r>
        <w:rPr>
          <w:rFonts w:ascii="Courier New" w:hAnsi="Courier New"/>
          <w:sz w:val="17"/>
        </w:rPr>
        <w:t xml:space="preserve">EDV    Elektronische Datenverarbeitung</w:t>
      </w:r>
    </w:p>
    <w:p>
      <w:r>
        <w:rPr>
          <w:rFonts w:ascii="Courier New" w:hAnsi="Courier New"/>
          <w:sz w:val="17"/>
        </w:rPr>
        <w:t xml:space="preserve">GJ    Geschäftsjahr(e, es)</w:t>
      </w:r>
    </w:p>
    <w:p>
      <w:r>
        <w:rPr>
          <w:rFonts w:ascii="Courier New" w:hAnsi="Courier New"/>
          <w:sz w:val="17"/>
        </w:rPr>
        <w:t xml:space="preserve">GK/GS    Grundkapital oder Gründungsstock</w:t>
      </w:r>
    </w:p>
    <w:p>
      <w:r>
        <w:rPr>
          <w:rFonts w:ascii="Courier New" w:hAnsi="Courier New"/>
          <w:sz w:val="17"/>
        </w:rPr>
        <w:t xml:space="preserve">GuV    Gewinn-und-Verlust-Rechnung</w:t>
      </w:r>
    </w:p>
    <w:p>
      <w:r>
        <w:rPr>
          <w:rFonts w:ascii="Courier New" w:hAnsi="Courier New"/>
          <w:sz w:val="17"/>
        </w:rPr>
        <w:t xml:space="preserve">HGB    Handelsgesetzbuch</w:t>
      </w:r>
    </w:p>
    <w:p>
      <w:r>
        <w:rPr>
          <w:rFonts w:ascii="Courier New" w:hAnsi="Courier New"/>
          <w:sz w:val="17"/>
        </w:rPr>
        <w:t xml:space="preserve">KA    Kapitalanlage</w:t>
      </w:r>
    </w:p>
    <w:p>
      <w:r>
        <w:rPr>
          <w:rFonts w:ascii="Courier New" w:hAnsi="Courier New"/>
          <w:sz w:val="17"/>
        </w:rPr>
        <w:t xml:space="preserve">LVU    Lebensversicherungsunternehmen</w:t>
      </w:r>
    </w:p>
    <w:p>
      <w:r>
        <w:rPr>
          <w:rFonts w:ascii="Courier New" w:hAnsi="Courier New"/>
          <w:sz w:val="17"/>
        </w:rPr>
        <w:t xml:space="preserve">Nr.    Nummer</w:t>
      </w:r>
    </w:p>
    <w:p>
      <w:r>
        <w:rPr>
          <w:rFonts w:ascii="Courier New" w:hAnsi="Courier New"/>
          <w:sz w:val="17"/>
        </w:rPr>
        <w:t xml:space="preserve">PF    Pensionsfonds</w:t>
      </w:r>
    </w:p>
    <w:p>
      <w:r>
        <w:rPr>
          <w:rFonts w:ascii="Courier New" w:hAnsi="Courier New"/>
          <w:sz w:val="17"/>
        </w:rPr>
        <w:t xml:space="preserve">PFAV    Pensionsfonds-Aufsichtsverordnung</w:t>
      </w:r>
    </w:p>
    <w:p>
      <w:r>
        <w:rPr>
          <w:rFonts w:ascii="Courier New" w:hAnsi="Courier New"/>
          <w:sz w:val="17"/>
        </w:rPr>
        <w:t xml:space="preserve">PFG    Pensionsfondsgeschäft</w:t>
      </w:r>
    </w:p>
    <w:p>
      <w:r>
        <w:rPr>
          <w:rFonts w:ascii="Courier New" w:hAnsi="Courier New"/>
          <w:sz w:val="17"/>
        </w:rPr>
        <w:t xml:space="preserve">R    Rückstellung(en)</w:t>
      </w:r>
    </w:p>
    <w:p>
      <w:r>
        <w:rPr>
          <w:rFonts w:ascii="Courier New" w:hAnsi="Courier New"/>
          <w:sz w:val="17"/>
        </w:rPr>
        <w:t xml:space="preserve">RdV    Rückstellung für drohende Verluste</w:t>
      </w:r>
    </w:p>
    <w:p>
      <w:r>
        <w:rPr>
          <w:rFonts w:ascii="Courier New" w:hAnsi="Courier New"/>
          <w:sz w:val="17"/>
        </w:rPr>
        <w:t xml:space="preserve">RechPensV    Verordnung über die Rechnungslegung von Pensionsfonds</w:t>
      </w:r>
    </w:p>
    <w:p>
      <w:r>
        <w:rPr>
          <w:rFonts w:ascii="Courier New" w:hAnsi="Courier New"/>
          <w:sz w:val="17"/>
        </w:rPr>
        <w:t xml:space="preserve">RechVersV    Verordnung über die Rechnungslegung von Versicherungsunternehmen</w:t>
      </w:r>
    </w:p>
    <w:p>
      <w:r>
        <w:rPr>
          <w:rFonts w:ascii="Courier New" w:hAnsi="Courier New"/>
          <w:sz w:val="17"/>
        </w:rPr>
        <w:t xml:space="preserve">Reg-Nr.    Register-Nummer</w:t>
      </w:r>
    </w:p>
    <w:p>
      <w:r>
        <w:rPr>
          <w:rFonts w:ascii="Courier New" w:hAnsi="Courier New"/>
          <w:sz w:val="17"/>
        </w:rPr>
        <w:t xml:space="preserve">RL    Rücklage</w:t>
      </w:r>
    </w:p>
    <w:p>
      <w:r>
        <w:rPr>
          <w:rFonts w:ascii="Courier New" w:hAnsi="Courier New"/>
          <w:sz w:val="17"/>
        </w:rPr>
        <w:t xml:space="preserve">RV    Rückversicherung</w:t>
      </w:r>
    </w:p>
    <w:p>
      <w:r>
        <w:rPr>
          <w:rFonts w:ascii="Courier New" w:hAnsi="Courier New"/>
          <w:sz w:val="17"/>
        </w:rPr>
        <w:t xml:space="preserve">VAG    Versicherungsaufsichtsgesetz</w:t>
      </w:r>
    </w:p>
    <w:p>
      <w:r>
        <w:rPr>
          <w:rFonts w:ascii="Courier New" w:hAnsi="Courier New"/>
          <w:sz w:val="17"/>
        </w:rPr>
        <w:t xml:space="preserve">VF    Versorgungsfälle</w:t>
      </w:r>
    </w:p>
    <w:p>
      <w:r>
        <w:rPr>
          <w:rFonts w:ascii="Courier New" w:hAnsi="Courier New"/>
          <w:sz w:val="17"/>
        </w:rPr>
        <w:t xml:space="preserve">vgl.    vergleiche</w:t>
      </w:r>
    </w:p>
    <w:p>
      <w:r>
        <w:rPr>
          <w:rFonts w:ascii="Courier New" w:hAnsi="Courier New"/>
          <w:sz w:val="17"/>
        </w:rPr>
        <w:t xml:space="preserve">VJ    Vorjahr(e, es)</w:t>
      </w:r>
    </w:p>
    <w:p>
      <w:r>
        <w:t xml:space="preserve">Abschnitt CWeitere Formularvorgaben</w:t>
      </w:r>
    </w:p>
    <w:p>
      <w:pPr>
        <w:ind w:left="420"/>
      </w:pPr>
      <w:r>
        <w:t xml:space="preserve">1. Allgemeines</w:t>
      </w:r>
    </w:p>
    <w:p>
      <w:pPr>
        <w:ind w:left="420"/>
      </w:pPr>
      <w:r>
        <w:t xml:space="preserve">1.1 Datenpunkte vom Datentyp „Monetär“ sind in Euro anzugeben.</w:t>
      </w:r>
    </w:p>
    <w:p>
      <w:pPr>
        <w:ind w:left="420"/>
      </w:pPr>
      <w:r>
        <w:t xml:space="preserve">1.2 Datenpunkte vom Datentyp „Prozentsatz“ sind mit vier Dezimalstellen auszudrücken (z. B. der Prozentsatz 37,12 % ist mit 0.3712 anzugeben).</w:t>
      </w:r>
    </w:p>
    <w:p>
      <w:pPr>
        <w:ind w:left="420"/>
      </w:pPr>
      <w:r>
        <w:t xml:space="preserve">1.3 Alle Datenpunkte sind als positive Werte anzugeben, außer in den folgenden Fällen:</w:t>
      </w:r>
    </w:p>
    <w:p>
      <w:pPr>
        <w:ind w:left="780"/>
      </w:pPr>
      <w:r>
        <w:t xml:space="preserve">a) Die Datenpunkte sind in Bezug auf den natürlichen Betrag des Postens von gegensätzlicher Art.</w:t>
      </w:r>
    </w:p>
    <w:p>
      <w:pPr>
        <w:ind w:left="780"/>
      </w:pPr>
      <w:r>
        <w:t xml:space="preserve">b) Die Art des Datenpunktes ermöglicht das Melden positiver und negativer Werte.</w:t>
      </w:r>
    </w:p>
    <w:p>
      <w:pPr>
        <w:ind w:left="780"/>
      </w:pPr>
      <w:r>
        <w:t xml:space="preserve">c) Nach Maßgabe der Hinweise in Anlage 2 Abschnitt A ist ein anderes Meldeformat erforderlich.</w:t>
      </w:r>
    </w:p>
    <w:p>
      <w:pPr>
        <w:ind w:left="420"/>
      </w:pPr>
      <w:r>
        <w:t xml:space="preserve">1.4 Datenpunkte, zu denen der Pensionsfonds keine Angaben machen kann, bleiben leer.</w:t>
      </w:r>
    </w:p>
    <w:p>
      <w:pPr>
        <w:ind w:left="420"/>
      </w:pPr>
      <w:r>
        <w:t xml:space="preserve">1.5 Sofern ergänzende Hinweise und Bemerkungen zu Formularen erforderlich werden, sind diese als qualitativer Formularteil gemäß § 42b Absatz 2 Satz 1 einzureichen.</w:t>
      </w:r>
    </w:p>
    <w:p>
      <w:pPr>
        <w:ind w:left="420"/>
      </w:pPr>
      <w:r>
        <w:t xml:space="preserve">2. KopfzeilenFür die Befüllung der Kopfzeilenfelder sind die nachfolgend aufgeführten Kennzeichnungen zu verwenden.</w:t>
      </w:r>
    </w:p>
    <w:p>
      <w:pPr>
        <w:ind w:left="420"/>
      </w:pPr>
      <w:r>
        <w:t xml:space="preserve">2.1 Formular F.810.01</w:t>
      </w:r>
    </w:p>
    <w:p>
      <w:r>
        <w:rPr>
          <w:rFonts w:ascii="Courier New" w:hAnsi="Courier New"/>
          <w:sz w:val="17"/>
        </w:rPr>
        <w:t xml:space="preserve">Fundstelle    Staaten    Herkunft des PFG</w:t>
      </w:r>
    </w:p>
    <w:p>
      <w:r>
        <w:rPr>
          <w:rFonts w:ascii="Courier New" w:hAnsi="Courier New"/>
          <w:sz w:val="17"/>
        </w:rPr>
        <w:t xml:space="preserve">§ 5 Nr. 2    das gesamte PFG    Herkunft 00</w:t>
      </w:r>
    </w:p>
    <w:p>
      <w:r>
        <w:rPr>
          <w:rFonts w:ascii="Courier New" w:hAnsi="Courier New"/>
          <w:sz w:val="17"/>
        </w:rPr>
        <w:t xml:space="preserve">§ 6 Abs. 1 Nr. 1    das gesamte inländische PFG    Herkunft 01</w:t>
      </w:r>
    </w:p>
    <w:p>
      <w:r>
        <w:rPr>
          <w:rFonts w:ascii="Courier New" w:hAnsi="Courier New"/>
          <w:sz w:val="17"/>
        </w:rPr>
        <w:t xml:space="preserve">§ 6 Abs. 1 Nr. 2    das gesamte ausländische PFG    Herkunft 99</w:t>
      </w:r>
    </w:p>
    <w:p>
      <w:r>
        <w:rPr>
          <w:rFonts w:ascii="Courier New" w:hAnsi="Courier New"/>
          <w:sz w:val="17"/>
        </w:rPr>
        <w:t xml:space="preserve">§ 6 Abs. 1 Nr. 3    das ausländische PFG pro Staat    Herkunft 21 bis Herkunft 25, Herkunft 31 bis Herkunft 34, Herkunft 41, Herkunft 42, Herkunft 44 bis Herkunft 48, Herkunft 51 bis Herkunft 63</w:t>
      </w:r>
    </w:p>
    <w:p>
      <w:pPr>
        <w:ind w:left="420"/>
      </w:pPr>
      <w:r>
        <w:t xml:space="preserve">2.2 Formular F.804.01</w:t>
      </w:r>
    </w:p>
    <w:p>
      <w:r>
        <w:rPr>
          <w:rFonts w:ascii="Courier New" w:hAnsi="Courier New"/>
          <w:sz w:val="17"/>
        </w:rPr>
        <w:t xml:space="preserve">Fundstelle    Verpflichtung    Währung</w:t>
      </w:r>
    </w:p>
    <w:p>
      <w:r>
        <w:rPr>
          <w:rFonts w:ascii="Courier New" w:hAnsi="Courier New"/>
          <w:sz w:val="17"/>
        </w:rPr>
        <w:t xml:space="preserve">Anmerkung 1 Satz 1 Buchstabe a) zum Formular F.804.01    für die Verpflichtungen in Euro    Währung 73</w:t>
      </w:r>
    </w:p>
    <w:p>
      <w:r>
        <w:rPr>
          <w:rFonts w:ascii="Courier New" w:hAnsi="Courier New"/>
          <w:sz w:val="17"/>
        </w:rPr>
        <w:t xml:space="preserve">Anmerkung 1 Satz 1 Buchstabe b) zum Formular F.804.01    für die Verpflichtungen in einer Währung eines Mitgliedstaates, dessen Währung nicht Euro ist, oder eines anderen Vertragsstaates    Währung 21, Währung 23 bis Währung 25, Währung 45, Währung 51, Währung 53, Währung 54, Währung 61, Währung 62</w:t>
      </w:r>
    </w:p>
    <w:p>
      <w:r>
        <w:rPr>
          <w:rFonts w:ascii="Courier New" w:hAnsi="Courier New"/>
          <w:sz w:val="17"/>
        </w:rPr>
        <w:t xml:space="preserve">Anmerkung 1 Satz 1 Buchstabe c) zum Formular F.804.01    für die Verpflichtungen in Schweizer Franken und in US-Dollar    Währung 49, Währung 81</w:t>
      </w:r>
    </w:p>
    <w:p>
      <w:pPr>
        <w:ind w:left="420"/>
      </w:pPr>
      <w:r>
        <w:t xml:space="preserve">2.3 Formular F.842.01</w:t>
      </w:r>
    </w:p>
    <w:p>
      <w:r>
        <w:rPr>
          <w:rFonts w:ascii="Courier New" w:hAnsi="Courier New"/>
          <w:sz w:val="17"/>
        </w:rPr>
        <w:t xml:space="preserve">Fundstelle    Staaten    Herkunft des PFG</w:t>
      </w:r>
    </w:p>
    <w:p>
      <w:r>
        <w:rPr>
          <w:rFonts w:ascii="Courier New" w:hAnsi="Courier New"/>
          <w:sz w:val="17"/>
        </w:rPr>
        <w:t xml:space="preserve">Anmerkung 1 Satz 1 Buchstabe a) zum Formular F.842.01    das gesamte ausländische PFG    Herkunft 72</w:t>
      </w:r>
    </w:p>
    <w:p>
      <w:r>
        <w:rPr>
          <w:rFonts w:ascii="Courier New" w:hAnsi="Courier New"/>
          <w:sz w:val="17"/>
        </w:rPr>
        <w:t xml:space="preserve">Anmerkung 1 Satz 1 Buchstabe b) zum Formular F.842.01    das ausländische PFG pro Staat    Herkunft 21 bis Herkunft 25, Herkunft 31 bis Herkunft 34, Herkunft 41, Herkunft 42, Herkunft 44 bis Herkunft 48, Herkunft 51 bis Herkunft 63</w:t>
      </w:r>
    </w:p>
    <w:p>
      <w:pPr>
        <w:ind w:left="420"/>
      </w:pPr>
      <w:r>
        <w:t xml:space="preserve">2.4 Formular F.850.01</w:t>
      </w:r>
    </w:p>
    <w:p>
      <w:r>
        <w:rPr>
          <w:rFonts w:ascii="Courier New" w:hAnsi="Courier New"/>
          <w:sz w:val="17"/>
        </w:rPr>
        <w:t xml:space="preserve">Fundstelle    Beziehung    Rückversicherungsbeziehung</w:t>
      </w:r>
    </w:p>
    <w:p>
      <w:r>
        <w:rPr>
          <w:rFonts w:ascii="Courier New" w:hAnsi="Courier New"/>
          <w:sz w:val="17"/>
        </w:rPr>
        <w:t xml:space="preserve">Anmerkung 5 zum Formular F.850.01    jede zu berichtende Rückversicherungsbeziehung    Rückversicherungsbeziehung 001 bis Rückversicherungsbeziehung 099</w:t>
      </w:r>
    </w:p>
    <w:p>
      <w:r>
        <w:rPr>
          <w:color w:val="555555"/>
          <w:sz w:val="17"/>
        </w:rPr>
        <w:t xml:space="preserve">Zitiervorschlag: Anlage 2 PFAV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