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PFAV — Gesonderte Gewinn-und-Verlust-Rechnung</w:t>
      </w:r>
    </w:p>
    <w:p>
      <w:r>
        <w:rPr>
          <w:color w:val="555555"/>
          <w:sz w:val="18"/>
        </w:rPr>
        <w:t xml:space="preserve">Pensionsfonds-Aufsichtsverordnung</w:t>
      </w:r>
    </w:p>
    <w:p>
      <w:r>
        <w:rPr>
          <w:color w:val="555555"/>
          <w:sz w:val="18"/>
        </w:rPr>
        <w:t xml:space="preserve">Stand: 19.12.2024 (konsolidierte Textfassung, kein amtliches Inkrafttretensdatum)</w:t>
      </w:r>
    </w:p>
    <w:p>
      <w:r>
        <w:t xml:space="preserve">(1) Pensionsfonds haben zusätzlich jeweils gesonderte pensionsfondstechnische Gewinn-und-Verlust-Rechnungen nach Formular F.810.01 bis einschließlich Zeile ZE0670 aufzustellen</w:t>
      </w:r>
    </w:p>
    <w:p>
      <w:pPr>
        <w:ind w:left="420"/>
      </w:pPr>
      <w:r>
        <w:t xml:space="preserve">1. für das gesamte inländische Pensionsfondsgeschäft,</w:t>
      </w:r>
    </w:p>
    <w:p>
      <w:pPr>
        <w:ind w:left="420"/>
      </w:pPr>
      <w:r>
        <w:t xml:space="preserve">2. für das gesamte ausländische Pensionsfondsgeschäft und</w:t>
      </w:r>
    </w:p>
    <w:p>
      <w:pPr>
        <w:ind w:left="420"/>
      </w:pPr>
      <w:r>
        <w:t xml:space="preserve">3. jeweils für das in einem anderen Mitglied- oder Vertragsstaat betriebene Pensionsfondsgeschäft.</w:t>
      </w:r>
    </w:p>
    <w:p>
      <w:r>
        <w:t xml:space="preserve">(2) Die gesonderten pensionsfondstechnischen Gewinn-und-Verlust-Rechnungen für das in einem anderen Mitglied- oder Vertragsstaat betriebene Pensionsfondsgeschäft gemäß Absatz 1 Nummer 3 können entfallen, sofern die gebuchten Bruttobeiträge des im einzelnen Mitglied- oder Vertragsstaat betriebenen Pensionsfondsgeschäfts nicht mehr als 500 000 Euro betragen.</w:t>
      </w:r>
    </w:p>
    <w:p>
      <w:r>
        <w:rPr>
          <w:color w:val="555555"/>
          <w:sz w:val="17"/>
        </w:rPr>
        <w:t xml:space="preserve">Zitiervorschlag: § 6 PFAV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https://recht.nulegal.eu/gesetze/PFAV/6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