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42c PFAV — Zusammen einzureichende Formularteile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Die quantitativen Formularteile von Formularen mit gleicher Einreichungsfrist nach den §§ 7 und 9 und die qualitativen Formularteile von Formularen mit gleicher Einreichungsfrist nach den §§ 7 und 9 sind jeweils in einer Meldedatei zu übermitteln.</w:t>
      </w:r>
    </w:p>
    <w:p>
      <w:r>
        <w:t xml:space="preserve">(2) Bereits bei einem früheren Meldevorgang nach § 7 oder § 9 für das jeweilige Geschäftsjahr eingereichte quantitative Formularteile sind zusammen mit nach § 7 oder § 9 später einzureichenden quantitativen Formularteilen erneut in einer Meldedatei zu übermitteln. Bereits bei einem früheren Meldevorgang nach § 7 oder § 9 für das jeweilige Geschäftsjahr eingereichte qualitative Formularteile sind zusammen mit nach § 7 oder § 9 später einzureichenden qualitativen Formularteilen erneut in einer Meldedatei zu übermitteln.</w:t>
      </w:r>
    </w:p>
    <w:p>
      <w:r>
        <w:t xml:space="preserve">(3) Mit den nach den Absätzen 1 und 2 Satz 1 zu übermittelnden quantitativen Formularteilen ist in der jeweiligen Meldedatei auch der quantitative Formularteil des Formulars nach § 28 für das jeweilige Geschäftsjahr zu übermitteln. Mit den nach den Absätzen 1 und 2 Satz 2 zu übermittelnden qualitativen Formularteilen ist in der jeweiligen Meldedatei auch der qualitative Formularteil des Formulars nach § 28 für das jeweilige Geschäftsjahr zu übermitteln. § 28 bleibt unberührt.</w:t>
      </w:r>
    </w:p>
    <w:p>
      <w:r>
        <w:t xml:space="preserve">(4) Eine Meldedatei mit quantitativen Formularteilen und eine Meldedatei mit qualitativen Formularteilen können zusammen in einem Meldevorgang übermittelt werden.</w:t>
      </w:r>
    </w:p>
    <w:p>
      <w:r>
        <w:rPr>
          <w:color w:val="555555"/>
          <w:sz w:val="17"/>
        </w:rPr>
        <w:t xml:space="preserve">Zitiervorschlag: § 42c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https://recht.nulegal.eu/gesetze/PFAV/42c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