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PFAV — Berichterstattung gegenüber der Aufsichtsbehörde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Schließt eine durchführende Einrichtung eine Vereinbarung zur Durchführung reiner Beitragszusagen ab, so hat sie der Aufsichtsbehörde unverzüglich die folgenden Unterlagen vorzulegen:</w:t>
      </w:r>
    </w:p>
    <w:p>
      <w:pPr>
        <w:ind w:left="420"/>
      </w:pPr>
      <w:r>
        <w:t xml:space="preserve">1. die Vereinbarung,</w:t>
      </w:r>
    </w:p>
    <w:p>
      <w:pPr>
        <w:ind w:left="420"/>
      </w:pPr>
      <w:r>
        <w:t xml:space="preserve">2. den zugrunde liegenden Tarifvertrag nach § 1 Absatz 2 Nummer 2a des Betriebsrentengesetzes sowie</w:t>
      </w:r>
    </w:p>
    <w:p>
      <w:pPr>
        <w:ind w:left="420"/>
      </w:pPr>
      <w:r>
        <w:t xml:space="preserve">3. das Ergebnis ihrer Prüfung nach § 39 Absatz 2 Satz 2.</w:t>
      </w:r>
    </w:p>
    <w:p>
      <w:r>
        <w:t xml:space="preserve">(2) Die durchführende Einrichtung hat der Aufsichtsbehörde spätestens sieben Monate nach dem Ende eines Geschäftsjahres Folgendes mitzuteilen:</w:t>
      </w:r>
    </w:p>
    <w:p>
      <w:pPr>
        <w:ind w:left="420"/>
      </w:pPr>
      <w:r>
        <w:t xml:space="preserve">1. die Höhe des Kapitaldeckungsgrads und die Höhe der maßgebenden Obergrenze,</w:t>
      </w:r>
    </w:p>
    <w:p>
      <w:pPr>
        <w:ind w:left="420"/>
      </w:pPr>
      <w:r>
        <w:t xml:space="preserve">2. die Annahmen und Methoden zur Festlegung der anfänglichen Höhe der lebenslangen Zahlung,</w:t>
      </w:r>
    </w:p>
    <w:p>
      <w:pPr>
        <w:ind w:left="420"/>
      </w:pPr>
      <w:r>
        <w:t xml:space="preserve">3. das Ausmaß der Anpassungen der lebenslangen Zahlungen sowie die den Anpassungen zugrunde liegenden Annahmen und Methoden.</w:t>
      </w:r>
    </w:p>
    <w:p>
      <w:r>
        <w:t xml:space="preserve">Bei Pensionsfonds haben diese Ausführungen im Rahmen des versicherungsmathematischen Gutachtens nach § 10 Absatz 1 Satz 1 Nummer 4 zu erfolgen, bei Pensionskassen im Rahmen des versicherungsmathematischen Gutachtens nach § 17 der Versicherungsberichterstattungs-Verordnung.</w:t>
      </w:r>
    </w:p>
    <w:p>
      <w:r>
        <w:rPr>
          <w:color w:val="555555"/>
          <w:sz w:val="17"/>
        </w:rPr>
        <w:t xml:space="preserve">Zitiervorschlag: § 42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