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PFAV — Interner jährlicher Bericht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Pensionsfonds haben der Aufsichtsbehörde einen internen jährlichen Bericht vorzulegen, der sich aus folgenden Rechnungslegungsunterlagen zusammensetzt:</w:t>
      </w:r>
    </w:p>
    <w:p>
      <w:pPr>
        <w:ind w:left="420"/>
      </w:pPr>
      <w:r>
        <w:t xml:space="preserve">1. Bilanz und Gewinn-und-Verlust-Rechnungen gemäß den §§ 5 bis 7,</w:t>
      </w:r>
    </w:p>
    <w:p>
      <w:pPr>
        <w:ind w:left="420"/>
      </w:pPr>
      <w:r>
        <w:t xml:space="preserve">2. formgebundene Erläuterungen gemäß den §§ 8 und 9 und</w:t>
      </w:r>
    </w:p>
    <w:p>
      <w:pPr>
        <w:ind w:left="420"/>
      </w:pPr>
      <w:r>
        <w:t xml:space="preserve">3. sonstige Rechnungslegungsunterlagen gemäß § 10.</w:t>
      </w:r>
    </w:p>
    <w:p>
      <w:r>
        <w:rPr>
          <w:color w:val="555555"/>
          <w:sz w:val="17"/>
        </w:rPr>
        <w:t xml:space="preserve">Zitiervorschlag: § 4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