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PFAV — Risikomanagement</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Im Rahmen des Risikomanagements sind die Vorgaben des Betriebsrentengesetzes sowie die zugrunde liegenden Vereinbarungen, insbesondere zur Begrenzung der Volatilität des Versorgungskapitals und der lebenslangen Zahlungen, zu berücksichtigen.</w:t>
      </w:r>
    </w:p>
    <w:p>
      <w:r>
        <w:t xml:space="preserve">(2) Zu den Vereinbarungen im Sinne des Absatzes 1 gehören die den Zusagen zugrunde liegenden Tarifverträge nach § 1 Absatz 2 Nummer 2a des Betriebsrentengesetzes sowie die der Durchführung dieser Zusagen zugrunde liegenden schriftlichen Vereinbarungen mit der durchführenden Einrichtung. Die durchführende Einrichtung hat vor dem Abschluss einer Vereinbarung zur Durchführung von Zusagen nach § 1 Absatz 2 Nummer 2a des Betriebsrentengesetzes zu prüfen, ob die Durchführung dieser Zusagen in der vorgesehenen Form mit den bestehenden aufsichtsrechtlichen Regelungen vereinbar ist.</w:t>
      </w:r>
    </w:p>
    <w:p>
      <w:r>
        <w:t xml:space="preserve">(3) Die Risikostrategie im Sinne von § 26 Absatz 2 des Versicherungsaufsichtsgesetzes hat Art, Umfang und Komplexität des Geschäfts der Durchführung reiner Beitragszusagen und der mit diesem Geschäft verbundenen Risiken ausdrücklich zu berücksichtigen.</w:t>
      </w:r>
    </w:p>
    <w:p>
      <w:r>
        <w:t xml:space="preserve">(4) Das Risikomanagement hat Verfahren zur Messung, Überwachung, Steuerung und Begrenzung der Volatilität der lebenslangen Zahlungen vorzusehen. Die Festlegungen der Tarifvertragsparteien sind dabei zu berücksichtigen.</w:t>
      </w:r>
    </w:p>
    <w:p>
      <w:r>
        <w:t xml:space="preserve">(5) Das Risikomanagement muss konsistent sein mit den Informationen der durchführenden Einrichtung gegenüber den Versorgungsanwärtern, Rentenempfängern und Tarifvertragsparteien. Dies betrifft insbesondere die Informationen zur erwarteten Höhe der lebenslangen Zahlungen und zu ihrer erwarteten Volatilität sowie zu der erwarteten Volatilität des Versorgungskapitals.</w:t>
      </w:r>
    </w:p>
    <w:p>
      <w:r>
        <w:rPr>
          <w:color w:val="555555"/>
          <w:sz w:val="17"/>
        </w:rPr>
        <w:t xml:space="preserve">Zitiervorschlag: § 39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