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PFAV — Anpassung der lebenslangen Zahlungen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Kapitaldeckungsgrad nach § 36 Absatz 1 darf 100 Prozent nicht unterschreiten und die Obergrenze nach § 36 Absatz 2 nicht übersteigen. Fällt der Kapitaldeckungsgrad unter 100 Prozent, sind die durch die durchführende Einrichtung an die Rentenempfänger zu erbringenden Leistungen zu senken; bei einem zu hohen Kapitaldeckungsgrad sind diese Leistungen zu erhöhen. Nach der Anpassung der Leistungen muss die Anforderung nach Satz 1 wieder erfüllt sein.</w:t>
      </w:r>
    </w:p>
    <w:p>
      <w:r>
        <w:t xml:space="preserve">(2) Eine Erhöhung der Leistungen darf nur insoweit vorgenommen werden, als ein Kapitaldeckungsgrad von 110 Prozent nicht unterschritten wird.</w:t>
      </w:r>
    </w:p>
    <w:p>
      <w:r>
        <w:t xml:space="preserve">(3) Die durchführende Einrichtung hat zu gewährleisten, dass die Anforderung nach Absatz 1 Satz 1 jederzeit eingehalten wird. Mindestens einmal jährlich hat sie die an die Rentenempfänger zu erbringenden Leistungen zu überprüfen und gegebenenfalls anzupassen.</w:t>
      </w:r>
    </w:p>
    <w:p>
      <w:r>
        <w:rPr>
          <w:color w:val="555555"/>
          <w:sz w:val="17"/>
        </w:rPr>
        <w:t xml:space="preserve">Zitiervorschlag: § 38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