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31a PFAV — Kapitalzahlung in Raten</w:t>
      </w:r>
    </w:p>
    <w:p>
      <w:r>
        <w:rPr>
          <w:color w:val="555555"/>
          <w:sz w:val="18"/>
        </w:rPr>
        <w:t xml:space="preserve">Pensionsfonds-Aufsichtsverordnung</w:t>
      </w:r>
    </w:p>
    <w:p>
      <w:r>
        <w:rPr>
          <w:color w:val="555555"/>
          <w:sz w:val="18"/>
        </w:rPr>
        <w:t xml:space="preserve">Stand: 22.01.2026 (konsolidierte Textfassung, kein amtliches Inkrafttretensdatum)</w:t>
      </w:r>
    </w:p>
    <w:p>
      <w:r>
        <w:t xml:space="preserve">Wird die Leistung als Kapitalzahlung in Raten erbracht, werden für die Ermittlung der Raten die §§ 29 bis 31 entsprechend angewendet. Dabei sind in den Barwerten die Zahlungsströme der Kapitalzahlung anzusetzen. Die Berechnung der Leistungen und ihrer Mindesthöhen wird getrennt für die Gruppe der Empfänger einer lebenslangen Zahlung und für die Gruppe der Empfänger von Raten einer Kapitalzahlung durchgeführt.</w:t>
      </w:r>
    </w:p>
    <w:p>
      <w:r>
        <w:rPr>
          <w:color w:val="555555"/>
          <w:sz w:val="17"/>
        </w:rPr>
        <w:t xml:space="preserve">Zitiervorschlag: § 31a PFAV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https://recht.nulegal.eu/gesetze/PFAV/31a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