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PFAV — Anpassung der lebenslangen Zahlungen</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Der Kapitaldeckungsgrad des Rentnerbestands eines Pensionsplans darf 100 Prozent nicht unterschreiten und 125 Prozent nicht übersteigen. Fällt der Kapitaldeckungsgrad unter 100 Prozent, sind die durch den Pensionsfonds an die Rentenempfänger des Pensionsplans zu erbringenden Leistungen zu senken; bei einem Kapitaldeckungsgrad von mehr als 125 Prozent sind diese Leistungen zu erhöhen. Nach der Anpassung der Leistungen muss die Anforderung nach Satz 1 wieder erfüllt sein.</w:t>
      </w:r>
    </w:p>
    <w:p>
      <w:r>
        <w:t xml:space="preserve">(2) Der Kapitaldeckungsgrad ist das Verhältnis der Deckungsrückstellung, die nach § 24 Absatz 3 für die Rentenempfänger des Pensionsplans zu bilden ist, zum Barwert der durch den Pensionsfonds an diese Rentenempfänger zu erbringenden Leistungen einschließlich damit verbundener Anwartschaften auf Hinterbliebenenleistungen. Bei der Berechnung des Barwerts ist § 24 Absatz 2 Satz 2 bis 4 entsprechend anzuwenden.</w:t>
      </w:r>
    </w:p>
    <w:p>
      <w:r>
        <w:t xml:space="preserve">(3) Der Pensionsfonds hat zu gewährleisten, dass die Anforderung aus Absatz 1 Satz 1 jederzeit eingehalten wird. Mindestens einmal jährlich hat er die an die Rentenempfänger des Pensionsplans zu erbringenden Leistungen zu überprüfen und gegebenenfalls anzupassen.</w:t>
      </w:r>
    </w:p>
    <w:p>
      <w:r>
        <w:rPr>
          <w:color w:val="555555"/>
          <w:sz w:val="17"/>
        </w:rPr>
        <w:t xml:space="preserve">Zitiervorschlag: § 31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