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PFAV — Vorlagefristen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Der Verantwortliche Aktuar hat den Erläuterungsbericht und den Angemessenheitsbericht bei Abgabe der versicherungsmathematischen Bestätigung dem Vorstand vorzulegen.</w:t>
      </w:r>
    </w:p>
    <w:p>
      <w:r>
        <w:t xml:space="preserve">(2) Der Vorstand hat den Erläuterungsbericht und den Angemessenheitsbericht unverzüglich nach Aufstellung des Jahresabschlusses der Aufsichtsbehörde einzureichen.</w:t>
      </w:r>
    </w:p>
    <w:p>
      <w:r>
        <w:rPr>
          <w:color w:val="555555"/>
          <w:sz w:val="17"/>
        </w:rPr>
        <w:t xml:space="preserve">Zitiervorschlag: § 3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