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PFAV — Berichtspflicht gegenüber der Aufsichtsbehörde</w:t>
      </w:r>
    </w:p>
    <w:p>
      <w:r>
        <w:rPr>
          <w:color w:val="555555"/>
          <w:sz w:val="18"/>
        </w:rPr>
        <w:t xml:space="preserve">Pensionsfonds-Aufsichtsverordnung</w:t>
      </w:r>
    </w:p>
    <w:p>
      <w:r>
        <w:rPr>
          <w:color w:val="555555"/>
          <w:sz w:val="18"/>
        </w:rPr>
        <w:t xml:space="preserve">Stand: 19.12.2024 (konsolidierte Textfassung, kein amtliches Inkrafttretensdatum)</w:t>
      </w:r>
    </w:p>
    <w:p>
      <w:r>
        <w:t xml:space="preserve">(1) Pensionsfonds haben jährlich der Aufsichtsbehörde eine Berechnung der Solvabilitätskapitalanforderung und einen Nachweis über ihre Eigenmittel vorzulegen (Solvabilitätsnachweis).</w:t>
      </w:r>
    </w:p>
    <w:p>
      <w:r>
        <w:t xml:space="preserve">(2) Stichtag für den Solvabilitätsnachweis ist der Stichtag des nach § 341a des Handelsgesetzbuchs vorgeschriebenen Jahresabschlusses. Für die Vorlage bei der Aufsichtsbehörde gilt die gleiche Frist wie für den aufgestellten Jahresabschluss.</w:t>
      </w:r>
    </w:p>
    <w:p>
      <w:r>
        <w:t xml:space="preserve">(3) Als Formular für den Solvabilitätsnachweis ist das in Anlage 4 festgelegte Muster zu verwenden.</w:t>
      </w:r>
    </w:p>
    <w:p>
      <w:r>
        <w:t xml:space="preserve">(4) (weggefallen)</w:t>
      </w:r>
    </w:p>
    <w:p>
      <w:r>
        <w:rPr>
          <w:color w:val="555555"/>
          <w:sz w:val="17"/>
        </w:rPr>
        <w:t xml:space="preserve">Zitiervorschlag: § 28 PFAV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https://recht.nulegal.eu/gesetze/PFAV/28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