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PFAV — Versicherungsmathematische Rechnungsgrundlagen bei versicherungsförmigen Garantien</w:t>
      </w:r>
    </w:p>
    <w:p>
      <w:r>
        <w:rPr>
          <w:color w:val="555555"/>
          <w:sz w:val="18"/>
        </w:rPr>
        <w:t xml:space="preserve">Pensionsfonds-Aufsichtsverordnung</w:t>
      </w:r>
    </w:p>
    <w:p>
      <w:r>
        <w:rPr>
          <w:color w:val="555555"/>
          <w:sz w:val="18"/>
        </w:rPr>
        <w:t xml:space="preserve">Stand: 10.06.2019 (konsolidierte Textfassung, kein amtliches Inkrafttretensdatum)</w:t>
      </w:r>
    </w:p>
    <w:p>
      <w:r>
        <w:t xml:space="preserve">(1) Bei der nach versicherungsmathematischen Methoden vorzunehmenden Ableitung von Rechnungsgrundlagen sind sämtliche Umstände, die Änderungen und Schwankungen der aus den zugrunde liegenden Statistiken gewonnenen Daten bewirken können, zu berücksichtigen und nach versicherungsmathematischen Grundsätzen geeignet zu gewichten. Die Ableitung von Rechnungsgrundlagen auf der Basis eines besten Schätzwertes genügt nicht. Die Rechnungsgrundlagen müssen ausreichend vorsichtig festgesetzt werden und nachteilige Abweichungen der relevanten Faktoren von den getroffenen, aus den Statistiken abgeleiteten Annahmen einbeziehen. Dies gilt sowohl für die grundsätzlich auf ein einzelnes Risiko abzustellende Bewertung als auch sinngemäß für die Bewertung bei nicht individualisierbaren Risiken, für die keine ausreichenden Statistiken verfügbar sind. Eine Beteiligung am Überschuss muss in angemessener Weise über die Laufzeit jedes Vertrages berücksichtigt werden.</w:t>
      </w:r>
    </w:p>
    <w:p>
      <w:r>
        <w:t xml:space="preserve">(2) Bei einer gemäß § 341f Absatz 2 des Handelsgesetzbuchs erforderlichen Berechnung der zu erwartenden Erträge des Pensionsfonds ist als Rendite zugrunde zu legen ein Referenzzins, der kalenderjährlich nach Maßgabe der folgenden Sätze ermittelt wird. Verwendet werden die von der Deutschen Bundesbank gemäß § 7 der Rückstellungsabzinsungsverordnung veröffentlichten Monatsendstände derjenigen Null-Kupon-Euro-Zinsswapsätze, die eine Laufzeit von 10 Jahren haben. Für die neun vorangegangenen Kalenderjahre wird jeweils der auf die zweite Nachkommastelle aufgerundete Jahresmittelwert der Monatsendstände bestimmt; dabei werden für die Jahre 2009 bis 2013 als Jahresmittelwerte 3,81, 3,13, 3,15, 2,14 und 1,96 Prozent angesetzt. Für das laufende Kalenderjahr wird der auf die zweite Nachkommastelle aufgerundete Mittelwert der Monatsendstände der ersten neun Monate bestimmt. Die Summe der neun Jahresmittelwerte aus Satz 3 und des Mittelwerts aus Satz 4 wird durch 10 geteilt. Es werden die folgenden, auf die nächsthöhere zweite Nachkommastelle gerundeten Differenzen gebildet:</w:t>
      </w:r>
    </w:p>
    <w:p>
      <w:pPr>
        <w:ind w:left="420"/>
      </w:pPr>
      <w:r>
        <w:t xml:space="preserve">1. der in Satz 5 erhaltene Wert abzüglich des Referenzzinses des vorherigen Kalenderjahres,</w:t>
      </w:r>
    </w:p>
    <w:p>
      <w:pPr>
        <w:ind w:left="420"/>
      </w:pPr>
      <w:r>
        <w:t xml:space="preserve">2. 9 Prozent des in Satz 4 erhaltenen Werts abzüglich 9 Prozent des Referenzzinses des vorherigen Kalenderjahres.</w:t>
      </w:r>
    </w:p>
    <w:p>
      <w:r>
        <w:t xml:space="preserve">Haben die Differenzen aus Satz 6 Nummer 1 und 2 das gleiche Vorzeichen, ergibt sich der Referenzzins des Kalenderjahres dadurch, dass der Referenzzins des vorherigen Kalenderjahres um die Differenz, die den kleineren Absolutbetrag hat, angepasst wird. Andernfalls bleibt der Referenzzins gegenüber dem vorherigen Kalenderjahr unverändert. Der Referenzzins des Kalenderjahres 2017 beträgt 2,21 Prozent.</w:t>
      </w:r>
    </w:p>
    <w:p>
      <w:r>
        <w:t xml:space="preserve">(3) Zu jedem Bilanzstichtag ist der gemäß Absatz 2 ermittelte Referenzzins des Kalenderjahres, in dem das Geschäftsjahr begonnen hat, mit dem höchsten in den nächsten 15 Jahren für einen Vertrag maßgeblichen Rechnungszins zu vergleichen. Ist der Referenzzins kleiner als der höchste maßgebliche Rechnungszins, ist der einzelvertraglichen Berechnung der Deckungsrückstellung Folgendes zugrunde zu legen:</w:t>
      </w:r>
    </w:p>
    <w:p>
      <w:pPr>
        <w:ind w:left="420"/>
      </w:pPr>
      <w:r>
        <w:t xml:space="preserve">1. für den Zeitraum der nächsten 15 Jahre jeweils das Minimum aus dem für das jeweilige Jahr maßgeblichen Rechnungszins und dem Referenzzins und</w:t>
      </w:r>
    </w:p>
    <w:p>
      <w:pPr>
        <w:ind w:left="420"/>
      </w:pPr>
      <w:r>
        <w:t xml:space="preserve">2. für den Zeitraum nach Ablauf von 15 Jahren der jeweils maßgebliche Rechnungszins.</w:t>
      </w:r>
    </w:p>
    <w:p>
      <w:r>
        <w:t xml:space="preserve">Andernfalls ist für die gesamte Restlaufzeit der jeweils maßgebliche Rechnungszins zu verwenden.</w:t>
      </w:r>
    </w:p>
    <w:p>
      <w:r>
        <w:t xml:space="preserve">(4) Die Annahmen und Berechnungsmethoden dürfen nur insoweit geändert werden, als die den Annahmen zugrunde liegenden rechtlichen oder wirtschaftlichen Rahmenbedingungen dies erfordern oder rechtfertigen.</w:t>
      </w:r>
    </w:p>
    <w:p>
      <w:r>
        <w:rPr>
          <w:color w:val="555555"/>
          <w:sz w:val="17"/>
        </w:rPr>
        <w:t xml:space="preserve">Zitiervorschlag: § 23 PFAV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https://recht.nulegal.eu/gesetze/PFAV/23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