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PFAV — Anlageformen</w:t>
      </w:r>
    </w:p>
    <w:p>
      <w:r>
        <w:rPr>
          <w:color w:val="555555"/>
          <w:sz w:val="18"/>
        </w:rPr>
        <w:t xml:space="preserve">Pensionsfonds-Aufsichtsverordnung</w:t>
      </w:r>
    </w:p>
    <w:p>
      <w:r>
        <w:rPr>
          <w:color w:val="555555"/>
          <w:sz w:val="18"/>
        </w:rPr>
        <w:t xml:space="preserve">Stand: 14.03.2026 (konsolidierte Textfassung, kein amtliches Inkrafttretensdatum)</w:t>
      </w:r>
    </w:p>
    <w:p>
      <w:r>
        <w:t xml:space="preserve">(1) Das Sicherungsvermögen darf angelegt werden in</w:t>
      </w:r>
    </w:p>
    <w:p>
      <w:pPr>
        <w:ind w:left="420"/>
      </w:pPr>
      <w:r>
        <w:t xml:space="preserve">1. Forderungen, für die ein Grundpfandrecht an einem in einem Staat des EWR oder in einem Vollmitgliedstaat der OECD belegenen Grundstück oder grundstücksgleichen Recht besteht, wenn das Grundpfandrecht die Erfordernisse der §§ 14 und 16 Absatz 1 bis 3 des Pfandbriefgesetzes, im Fall von Erbbaurechten darüber hinaus die Erfordernisse des § 13 Absatz 2 des Pfandbriefgesetzes erfüllt oder wenn das Grundpfandrecht die entsprechenden Vorschriften des anderen Staates erfüllt;</w:t>
      </w:r>
    </w:p>
    <w:p>
      <w:pPr>
        <w:ind w:left="420"/>
      </w:pPr>
      <w:r>
        <w:t xml:space="preserve">2. Forderungen,</w:t>
      </w:r>
    </w:p>
    <w:p>
      <w:pPr>
        <w:ind w:left="780"/>
      </w:pPr>
      <w:r>
        <w:t xml:space="preserve">a) die ausreichend durch Geldzahlung gesichert oder für die Guthaben oder Wertpapiere entsprechend § 200 Absatz 1 bis 3 des Kapitalanlagegesetzbuchs oder gleichwertiger Vorschriften eines anderen Staates des EWR oder eines Vollmitgliedstaates der OECD verpfändet oder zur Sicherung übertragen sind (Wertpapierdarlehen),</w:t>
      </w:r>
    </w:p>
    <w:p>
      <w:pPr>
        <w:ind w:left="780"/>
      </w:pPr>
      <w:r>
        <w:t xml:space="preserve">b) für die Schuldverschreibungen nach Nummer 6 oder 7 verpfändet oder zur Sicherung übertragen sind oder</w:t>
      </w:r>
    </w:p>
    <w:p>
      <w:pPr>
        <w:ind w:left="780"/>
      </w:pPr>
      <w:r>
        <w:t xml:space="preserve">c) die aus liquiden Abrechnungsforderungen des Pensionsfonds gegenüber einem Rückversicherer, abzüglich etwaiger Abrechnungsverbindlichkeiten aus Prämienforderungen des Rückversicherers gegen den Pensionsfonds, bestehen;</w:t>
      </w:r>
    </w:p>
    <w:p>
      <w:pPr>
        <w:ind w:left="420"/>
      </w:pPr>
      <w:r>
        <w:t xml:space="preserve">3. Darlehen</w:t>
      </w:r>
    </w:p>
    <w:p>
      <w:pPr>
        <w:ind w:left="780"/>
      </w:pPr>
      <w:r>
        <w:t xml:space="preserve">a) an die Bundesrepublik Deutschland, ihre Länder, Gemeinden und Gemeindeverbände,</w:t>
      </w:r>
    </w:p>
    <w:p>
      <w:pPr>
        <w:ind w:left="780"/>
      </w:pPr>
      <w:r>
        <w:t xml:space="preserve">b) an einen anderen Staat des EWR oder einen Vollmitgliedstaat der OECD,</w:t>
      </w:r>
    </w:p>
    <w:p>
      <w:pPr>
        <w:ind w:left="780"/>
      </w:pPr>
      <w:r>
        <w:t xml:space="preserve">c) an Regionalregierungen und örtliche Gebietskörperschaften eines anderen Staates des EWR oder eines Vollmitgliedstaates der OECD,</w:t>
      </w:r>
    </w:p>
    <w:p>
      <w:pPr>
        <w:ind w:left="780"/>
      </w:pPr>
      <w:r>
        <w:t xml:space="preserve">d) an eine internationale Organisation, der auch die Bundesrepublik Deutschland als Vollmitglied angehört,</w:t>
      </w:r>
    </w:p>
    <w:p>
      <w:pPr>
        <w:ind w:left="780"/>
      </w:pPr>
      <w:r>
        <w:t xml:space="preserve">e) für deren Verzinsung und Rückzahlung eine der unter Buchstabe a, b oder d genannten Stellen, ein geeignetes Kreditinstitut im Sinne der Nummer 18 Buchstabe b, ein öffentlich-rechtliches Kreditinstitut im Sinne der Nummer 18 Buchstabe c oder eine multilaterale Entwicklungsbank im Sinne der Nummer 18 Buchstabe d die volle Gewährleistung übernommen hat oder ein Versicherungsunternehmen im Sinne des Artikels 14 der Richtlinie 2009/138/EG des Europäischen Parlaments und des Rates vom 25. November 2009 betreffend die Aufnahme und Ausübung der Versicherungs- und der Rückversicherungstätigkeit (Solvabilität II) (ABl. L 335 vom 17.12.2009, S. 1), die zuletzt durch die Richtlinie 2014/51/EU (ABl. L 153 vom 22.5.2014, S. 1) geändert worden ist, das Ausfallrisiko versichert hat, oder</w:t>
      </w:r>
    </w:p>
    <w:p>
      <w:pPr>
        <w:ind w:left="780"/>
      </w:pPr>
      <w:r>
        <w:t xml:space="preserve">f) an Abwicklungsanstalten im Sinne des § 8a Absatz 1 des Stabilisierungsfondsgesetzes, soweit eine unter Buchstabe a, b oder d genannte Stelle für diese Abwicklungsanstalt die Verlustausgleichspflicht gemäß § 8a Absatz 4 Satz 1 Nummer 1 Satz 1 und Nummer 1a des Stabilisierungsfondsgesetzes übernommen hat;</w:t>
      </w:r>
    </w:p>
    <w:p>
      <w:pPr>
        <w:ind w:left="420"/>
      </w:pPr>
      <w:r>
        <w:t xml:space="preserve">4. Darlehen</w:t>
      </w:r>
    </w:p>
    <w:p>
      <w:pPr>
        <w:ind w:left="780"/>
      </w:pPr>
      <w:r>
        <w:t xml:space="preserve">a) an Unternehmen mit Sitz in einem Staat des EWR oder in einem Vollmitgliedstaat der OECD mit Ausnahme von Kreditinstituten, sofern auf Grund der bisherigen und der zu erwartenden künftigen Entwicklung der Ertrags- und Vermögenslage des Unternehmens die vertraglich vereinbarte Verzinsung und Rückzahlung gewährleistet erscheinen und die Darlehen ausreichend</w:t>
      </w:r>
    </w:p>
    <w:p>
      <w:pPr>
        <w:ind w:left="1140"/>
      </w:pPr>
      <w:r>
        <w:t xml:space="preserve">aa) durch erstrangige Grundpfandrechte gesichert sind,</w:t>
      </w:r>
    </w:p>
    <w:p>
      <w:pPr>
        <w:ind w:left="1140"/>
      </w:pPr>
      <w:r>
        <w:t xml:space="preserve">bb) durch verpfändete oder zur Sicherung übertragene Forderungen oder zum Handel zugelassene oder an einem anderen organisierten Markt nach § 2 Absatz 11 des Wertpapierhandelsgesetzes zugelassene oder in diesen einbezogene Wertpapiere gesichert sind oder</w:t>
      </w:r>
    </w:p>
    <w:p>
      <w:pPr>
        <w:ind w:left="1140"/>
      </w:pPr>
      <w:r>
        <w:t xml:space="preserve">cc) in vergleichbarer Weise gesichert sind; eine Verpflichtungserklärung des Darlehensnehmers gegenüber dem Pensionsfonds (Negativerklärung) kann eine Sicherung des Darlehens nur ersetzen, wenn und solange der Darlehensnehmer bereits auf Grund seines Status die Gewähr für die Verzinsung und Rückzahlung des Darlehens bietet;</w:t>
      </w:r>
    </w:p>
    <w:p>
      <w:pPr>
        <w:ind w:left="780"/>
      </w:pPr>
      <w:r>
        <w:t xml:space="preserve">b) an Unternehmen im Sinne von Nummer 14 Buchstabe a, an denen der Pensionsfonds als Gesellschafter beteiligt ist (Gesellschafter-Darlehen), wenn die Darlehen die Erfordernisse des § 240 Absatz 1 und Absatz 2 Satz 1 Nummer 1 des Kapitalanlagegesetzbuchs erfüllen;</w:t>
      </w:r>
    </w:p>
    <w:p>
      <w:pPr>
        <w:ind w:left="780"/>
      </w:pPr>
      <w:r>
        <w:t xml:space="preserve">c) an andere Unternehmen mit Sitz in einem Staat des EWR oder in einem Vollmitgliedstaat der OECD mit Ausnahme von Kreditinstituten, sofern diese Darlehen ausreichend dinglich oder schuldrechtlich gesichert sind;</w:t>
      </w:r>
    </w:p>
    <w:p>
      <w:pPr>
        <w:ind w:left="420"/>
      </w:pPr>
      <w:r>
        <w:t xml:space="preserve">5. Versicherungsverträgen, die bei Lebensversicherungsunternehmen im Sinne des § 1 Absatz 2 Satz 1 des Altersvorsorgeverträge-Zertifizierungsgesetzes zur Deckung von Verpflichtungen gegenüber den Versorgungsberechtigten eingegangen werden;</w:t>
      </w:r>
    </w:p>
    <w:p>
      <w:pPr>
        <w:ind w:left="420"/>
      </w:pPr>
      <w:r>
        <w:t xml:space="preserve">6. Pfandbriefen, Kommunalobligationen und anderen Schuldverschreibungen von Kreditinstituten mit Sitz in einem Staat des EWR oder in einem Vollmitgliedstaat der OECD, wenn die Kreditinstitute auf Grund gesetzlicher Vorschriften zum Schutz der Inhaber dieser Schuldverschreibungen einer besonderen öffentlichen Aufsicht unterliegen und die mit der Ausgabe der Schuldverschreibungen aufgenommenen Mittel nach den gesetzlichen Vorschriften in Vermögenswerten angelegt werden, die während der gesamten Laufzeit der Schuldverschreibungen die sich aus ihnen ergebenden Verbindlichkeiten ausreichend decken und die bei einem Ausfall des Ausstellers vorrangig für die fällig werdenden Rückzahlungen und die Zahlung der Zinsen bestimmt sind (kraft Gesetzes bestehende besondere Deckungsmasse);</w:t>
      </w:r>
    </w:p>
    <w:p>
      <w:pPr>
        <w:ind w:left="420"/>
      </w:pPr>
      <w:r>
        <w:t xml:space="preserve">7. Schuldverschreibungen,</w:t>
      </w:r>
    </w:p>
    <w:p>
      <w:pPr>
        <w:ind w:left="780"/>
      </w:pPr>
      <w:r>
        <w:t xml:space="preserve">a) die an einer Börse zum Handel zugelassen sind oder an einem anderen organisierten Markt zugelassen oder in diesen einbezogen sind,</w:t>
      </w:r>
    </w:p>
    <w:p>
      <w:pPr>
        <w:ind w:left="780"/>
      </w:pPr>
      <w:r>
        <w:t xml:space="preserve">b) deren Einbeziehung in einen organisierten Markt nach den Ausgabebedingungen zu beantragen ist, sofern die Einbeziehung dieser Schuldverschreibungen innerhalb eines Jahres nach ihrer Ausgabe erfolgt, oder</w:t>
      </w:r>
    </w:p>
    <w:p>
      <w:pPr>
        <w:ind w:left="780"/>
      </w:pPr>
      <w:r>
        <w:t xml:space="preserve">c) die in einem Staat außerhalb des EWR an einer Börse zum Handel zugelassen sind oder dort an einem anderen organisierten Markt zugelassen oder in diesen einbezogen sind;</w:t>
      </w:r>
    </w:p>
    <w:p>
      <w:pPr>
        <w:ind w:left="420"/>
      </w:pPr>
      <w:r>
        <w:t xml:space="preserve">8. anderen Schuldverschreibungen;</w:t>
      </w:r>
    </w:p>
    <w:p>
      <w:pPr>
        <w:ind w:left="420"/>
      </w:pPr>
      <w:r>
        <w:t xml:space="preserve">9. Forderungen aus nachrangigen Verbindlichkeiten gegen Unternehmen oder aus Genussrechten an Unternehmen, die</w:t>
      </w:r>
    </w:p>
    <w:p>
      <w:pPr>
        <w:ind w:left="780"/>
      </w:pPr>
      <w:r>
        <w:t xml:space="preserve">a) ihren Sitz in einem Staat des EWR oder in einem Vollmitgliedstaat der OECD haben oder</w:t>
      </w:r>
    </w:p>
    <w:p>
      <w:pPr>
        <w:ind w:left="780"/>
      </w:pPr>
      <w:r>
        <w:t xml:space="preserve">b) an einer Börse zum Handel zugelassen sind oder an einem anderen organisierten Markt zugelassen oder in diesen einbezogen sind oder in einem Staat außerhalb des EWR an einer Börse zum Handel zugelassen sind oder dort an einem anderen organisierten Markt zugelassen oder in diesen einbezogen sind;</w:t>
      </w:r>
    </w:p>
    <w:p>
      <w:pPr>
        <w:ind w:left="420"/>
      </w:pPr>
      <w:r>
        <w:t xml:space="preserve">10. Asset Backed Securities (strukturierte Finanzinstrumente, die mit Forderungsrechten besichert sind) und Credit Linked Notes (mit Kreditrisiken verknüpfte Finanzinstrumente) sowie andere Anlagen nach § 17 Absatz 1, deren Ertrag oder Rückzahlung an Kreditrisiken gebunden sind oder mittels derer Kreditrisiken eines Dritten übertragen werden,</w:t>
      </w:r>
    </w:p>
    <w:p>
      <w:pPr>
        <w:ind w:left="780"/>
      </w:pPr>
      <w:r>
        <w:t xml:space="preserve">a) gegen Unternehmen mit Sitz in einem Staat des EWR oder in einem Vollmitgliedstaat der OECD oder</w:t>
      </w:r>
    </w:p>
    <w:p>
      <w:pPr>
        <w:ind w:left="780"/>
      </w:pPr>
      <w:r>
        <w:t xml:space="preserve">b) die an einer Börse zum Handel zugelassen sind oder an einem anderen organisierten Markt zugelassen oder in diesen einbezogen sind oder in einem Staat außerhalb des EWR an einer Börse zum Handel zugelassen sind oder dort an einem anderen organisierten Markt zugelassen oder in diesen einbezogen sind;</w:t>
      </w:r>
    </w:p>
    <w:p>
      <w:pPr>
        <w:ind w:left="420"/>
      </w:pPr>
      <w:r>
        <w:t xml:space="preserve">11. Forderungen, die in das Schuldbuch der Bundesrepublik Deutschland, eines ihrer Länder oder in ein entsprechendes Verzeichnis eines anderen Staates des EWR oder eines Vollmitgliedstaates der OECD eingetragen sind oder deren Eintragung als Schuldbuchforderung innerhalb eines Jahres nach ihrer Ausgabe erfolgt, sowie in Liquiditätspapieren im Sinne des § 42 Absatz 1 des Gesetzes über die Deutsche Bundesbank;</w:t>
      </w:r>
    </w:p>
    <w:p>
      <w:pPr>
        <w:ind w:left="420"/>
      </w:pPr>
      <w:r>
        <w:t xml:space="preserve">12. Aktien, die an einer Börse zum Handel zugelassen sind oder an einem anderen organisierten Markt zugelassen oder in diesen einbezogen sind oder in einem Staat außerhalb des EWR an einer Börse zum Handel zugelassen sind oder dort an einem anderen organisierten Markt zugelassen oder in diesen einbezogen sind;</w:t>
      </w:r>
    </w:p>
    <w:p>
      <w:pPr>
        <w:ind w:left="420"/>
      </w:pPr>
      <w:r>
        <w:t xml:space="preserve">13. Beteiligungen in Form von</w:t>
      </w:r>
    </w:p>
    <w:p>
      <w:pPr>
        <w:ind w:left="780"/>
      </w:pPr>
      <w:r>
        <w:t xml:space="preserve">a) anderen Aktien, Geschäftsanteilen an einer Gesellschaft mit beschränkter Haftung, Kommanditanteilen und Beteiligungen als stiller Gesellschafter im Sinne des Handelsgesetzbuchs, wenn das Unternehmen über ein Geschäftsmodell verfügt, unternehmerische Risiken eingeht und</w:t>
      </w:r>
    </w:p>
    <w:p>
      <w:pPr>
        <w:ind w:left="1140"/>
      </w:pPr>
      <w:r>
        <w:t xml:space="preserve">aa) seinen Sitz in einem Staat des EWR oder in einem Vollmitgliedstaat der OECD hat,</w:t>
      </w:r>
    </w:p>
    <w:p>
      <w:pPr>
        <w:ind w:left="1140"/>
      </w:pPr>
      <w:r>
        <w:t xml:space="preserve">bb) dem Pensionsfonds den letzten Jahresabschluss zur Verfügung stellt, der in entsprechender Anwendung der für Kapitalgesellschaften geltenden Vorschriften aufgestellt und geprüft ist,</w:t>
      </w:r>
    </w:p>
    <w:p>
      <w:pPr>
        <w:ind w:left="1140"/>
      </w:pPr>
      <w:r>
        <w:t xml:space="preserve">cc) sich verpflichtet, auch künftig zu jedem Bilanzstichtag einen derartigen Jahresabschluss vorzulegen;</w:t>
      </w:r>
    </w:p>
    <w:p>
      <w:pPr>
        <w:ind w:left="780"/>
      </w:pPr>
      <w:r>
        <w:t xml:space="preserve">b) Anteilen und Aktien an inländischen geschlossenen Alternativen Investmentfonds (AIF) im Sinne des § 1 Absatz 3 des Kapitalanlagegesetzbuchs,</w:t>
      </w:r>
    </w:p>
    <w:p>
      <w:pPr>
        <w:ind w:left="1140"/>
      </w:pPr>
      <w:r>
        <w:t xml:space="preserve">aa) die direkt oder indirekt in Vermögensgegenstände nach § 261 Absatz 1 Nummer 2 und 4 des Kapitalanlagegesetzbuchs, eigenkapitalähnliche Instrumente sowie andere Instrumente der Unternehmensfinanzierung investieren und</w:t>
      </w:r>
    </w:p>
    <w:p>
      <w:pPr>
        <w:ind w:left="1140"/>
      </w:pPr>
      <w:r>
        <w:t xml:space="preserve">bb) die von einer Kapitalverwaltungsgesellschaft verwaltet werden, die über eine Erlaubnis nach § 20 Absatz 1 des Kapitalanlagegesetzbuchs verfügt oder nach § 44 des Kapitalanlagegesetzbuchs registriert ist, oder von einer Verwaltungsgesellschaft mit Sitz in einem Staat des EWR oder in einem Vollmitgliedstaat der OECD, die zum Schutz der Anleger einer öffentlichen Aufsicht unterliegt und über eine Erlaubnis oder Registrierung verfügt, die mit der Erlaubnis nach § 20 Absatz 1 des Kapitalanlagegesetzbuchs oder der Registrierung nach § 44 des Kapitalanlagegesetzbuchs vergleichbar ist,</w:t>
      </w:r>
    </w:p>
    <w:p>
      <w:pPr>
        <w:ind w:left="780"/>
      </w:pPr>
      <w:r>
        <w:t xml:space="preserve">sowie von Anteilen und Aktien an geschlossenen ausländischen Investmentvermögen, die dem Recht eines Staates des EWR oder eines Vollmitgliedstaates der OECD unterliegen, die Anforderung nach Doppelbuchstabe aa in vergleichbarer Weise erfüllen und von einer Gesellschaft im Sinne von Doppelbuchstabe bb verwaltet werden;</w:t>
      </w:r>
    </w:p>
    <w:p>
      <w:pPr>
        <w:ind w:left="420"/>
      </w:pPr>
      <w:r>
        <w:t xml:space="preserve">14. Immobilien in Form von</w:t>
      </w:r>
    </w:p>
    <w:p>
      <w:pPr>
        <w:ind w:left="780"/>
      </w:pPr>
      <w:r>
        <w:t xml:space="preserve">a) bebauten, in Bebauung befindlichen oder zur alsbaldigen Bebauung bestimmten, in einem Staat des EWR oder in einem Vollmitgliedstaat der OECD belegenen Grundstücken, dort belegenen grundstücksgleichen Rechten sowie Anteilen an einem Unternehmen, dessen alleiniger Zweck der Erwerb, die Bebauung und Verwaltung von in einem solchen Staat belegenen Grundstücken oder grundstücksgleichen Rechten ist; der Pensionsfonds hat die Angemessenheit des Kaufpreises auf der Grundlage des Gutachtens eines vereidigten Sachverständigen oder in vergleichbarer Weise zu prüfen,</w:t>
      </w:r>
    </w:p>
    <w:p>
      <w:pPr>
        <w:ind w:left="780"/>
      </w:pPr>
      <w:r>
        <w:t xml:space="preserve">b) Aktien einer REIT-Aktiengesellschaft oder von Anteilen an einer vergleichbaren Kapitalgesellschaft mit Sitz in einem Staat des EWR oder in einem Vollmitgliedstaat der OECD, die die Voraussetzungen des REIT-Gesetzes oder die vergleichbaren Vorschriften des anderen Staates erfüllen,</w:t>
      </w:r>
    </w:p>
    <w:p>
      <w:pPr>
        <w:ind w:left="780"/>
      </w:pPr>
      <w:r>
        <w:t xml:space="preserve">c) Anteilen und Aktien an inländischen Spezial-AIF im Sinne des § 1 Absatz 6 des Kapitalanlagegesetzbuchs oder von Anteilen und Aktien an inländischen geschlossenen Publikums-AIF im Sinne des § 1 Absatz 3 in Verbindung mit Absatz 6 Satz 2 des Kapitalanlagegesetzbuchs,</w:t>
      </w:r>
    </w:p>
    <w:p>
      <w:pPr>
        <w:ind w:left="1140"/>
      </w:pPr>
      <w:r>
        <w:t xml:space="preserve">aa) die direkt oder indirekt investieren in Vermögensgegenstände nach § 231 Absatz 1 Satz 1 Nummer 1 bis 6, 8 und Absatz 3 sowie § 235 Absatz 1 des Kapitalanlagegesetzbuchs und in Liquiditätsanlagen, die näherungsweise den Anforderungen des § 253 Absatz 1 Satz 1 des Kapitalanlagegesetzbuchs entsprechen, und</w:t>
      </w:r>
    </w:p>
    <w:p>
      <w:pPr>
        <w:ind w:left="1140"/>
      </w:pPr>
      <w:r>
        <w:t xml:space="preserve">bb) die von einer Kapitalverwaltungsgesellschaft verwaltet werden, die über eine Erlaubnis nach § 20 Absatz 1 des Kapitalanlagegesetzbuchs verfügt, oder von einer Verwaltungsgesellschaft mit Sitz in einem Staat des EWR, die zum Schutz der Anleger einer öffentlichen Aufsicht unterliegt und über eine Erlaubnis verfügt, die mit der Erlaubnis nach § 20 Absatz 1 des Kapitalanlagegesetzbuchs vergleichbar ist,</w:t>
      </w:r>
    </w:p>
    <w:p>
      <w:pPr>
        <w:ind w:left="780"/>
      </w:pPr>
      <w:r>
        <w:t xml:space="preserve">sowie von Anteilen und Aktien an EU-Investmentvermögen im Sinne des § 1 Absatz 8 des Kapitalanlagegesetzbuchs in Form von Spezial-AIF und geschlossenen Publikums-AIF, die die Anforderung nach Doppelbuchstabe aa in vergleichbarer Weise erfüllen und von einer Gesellschaft im Sinne von Doppelbuchstabe bb verwaltet werden;</w:t>
      </w:r>
    </w:p>
    <w:p>
      <w:pPr>
        <w:ind w:left="420"/>
      </w:pPr>
      <w:r>
        <w:t xml:space="preserve">15. Anteilen und Anlageaktien an inländischen offenen Publikumsinvestmentvermögen im Sinne des § 1 Absatz 2 des Kapitalanlagegesetzbuchs (OGAW) sowie in Anteilen und Aktien an vergleichbaren EU-Investmentvermögen im Sinne des § 1 Absatz 8 des Kapitalanlagegesetzbuchs, sofern diese Vermögen von einer OGAW-Verwaltungsgesellschaft mit Sitz in einem Staat des EWR verwaltet werden;</w:t>
      </w:r>
    </w:p>
    <w:p>
      <w:pPr>
        <w:ind w:left="420"/>
      </w:pPr>
      <w:r>
        <w:t xml:space="preserve">16. Anteilen und Anlageaktien an inländischen offenen Spezial-AIF im Sinne des § 1 Absatz 6 Satz 1 des Kapitalanlagegesetzbuchs,</w:t>
      </w:r>
    </w:p>
    <w:p>
      <w:pPr>
        <w:ind w:left="780"/>
      </w:pPr>
      <w:r>
        <w:t xml:space="preserve">a) die die Anforderungen nach § 284 des Kapitalanlagegesetzbuchs erfüllen und nicht von Nummer 14 Buchstabe c erfasst werden und</w:t>
      </w:r>
    </w:p>
    <w:p>
      <w:pPr>
        <w:ind w:left="780"/>
      </w:pPr>
      <w:r>
        <w:t xml:space="preserve">b) die von einer Kapitalverwaltungsgesellschaft verwaltet werden, die über eine Erlaubnis nach § 20 Absatz 1 des Kapitalanlagegesetzbuchs verfügt, oder von einer Verwaltungsgesellschaft mit Sitz in einem Staat des EWR, die zum Schutz der Anleger einer öffentlichen Aufsicht unterliegt und über eine Erlaubnis verfügt, die mit der Erlaubnis nach § 20 Absatz 1 des Kapitalanlagegesetzbuchs vergleichbar ist,</w:t>
      </w:r>
    </w:p>
    <w:p>
      <w:pPr>
        <w:ind w:left="420"/>
      </w:pPr>
      <w:r>
        <w:t xml:space="preserve">sowie in Anteilen und Aktien an EU-Investmentvermögen im Sinne des § 1 Absatz 8 des Kapitalanlagegesetzbuchs in Form von offenen Spezial-AIF, die die Anforderung nach Buchstabe a in vergleichbarer Weise erfüllen und von einer Gesellschaft im Sinne von Buchstabe b verwaltet werden;</w:t>
      </w:r>
    </w:p>
    <w:p>
      <w:pPr>
        <w:ind w:left="420"/>
      </w:pPr>
      <w:r>
        <w:t xml:space="preserve">17. Anteilen und Aktien an inländischen Investmentvermögen im Sinne des § 1 Absatz 1 des Kapitalanlagegesetzbuchs,</w:t>
      </w:r>
    </w:p>
    <w:p>
      <w:pPr>
        <w:ind w:left="780"/>
      </w:pPr>
      <w:r>
        <w:t xml:space="preserve">a) die nicht Publikumsinvestmentvermögen in Form von Immobilien-Sondervermögen nach den §§ 230 bis 260 des Kapitalanlagegesetzbuchs sind,</w:t>
      </w:r>
    </w:p>
    <w:p>
      <w:pPr>
        <w:ind w:left="780"/>
      </w:pPr>
      <w:r>
        <w:t xml:space="preserve">b) die nicht von Nummer 13 Buchstabe b, Nummer 14 Buchstabe c, Nummer 15 und 16 erfasst werden und</w:t>
      </w:r>
    </w:p>
    <w:p>
      <w:pPr>
        <w:ind w:left="780"/>
      </w:pPr>
      <w:r>
        <w:t xml:space="preserve">c) die von einer Kapitalverwaltungsgesellschaft verwaltet werden, die über eine Erlaubnis nach § 20 Absatz 1 des Kapitalanlagegesetzbuchs verfügt, oder von einer Verwaltungsgesellschaft mit Sitz in einem Staat des EWR, die zum Schutz der Anleger einer öffentlichen Aufsicht unterliegt und über eine Erlaubnis verfügt, die mit der Erlaubnis nach § 20 Absatz 1 des Kapitalanlagegesetzbuchs vergleichbar ist,</w:t>
      </w:r>
    </w:p>
    <w:p>
      <w:pPr>
        <w:ind w:left="420"/>
      </w:pPr>
      <w:r>
        <w:t xml:space="preserve">sowie in Anteilen und Aktien an EU-Investmentvermögen im Sinne des § 1 Absatz 8 des Kapitalanlagegesetzbuchs, die die Anforderung nach Buchstabe a in vergleichbarer Weise erfüllen, nicht von den in Buchstabe b genannten Anlageformen erfasst werden und von einer Gesellschaft im Sinne von Buchstabe c verwaltet werden;</w:t>
      </w:r>
    </w:p>
    <w:p>
      <w:pPr>
        <w:ind w:left="420"/>
      </w:pPr>
      <w:r>
        <w:t xml:space="preserve">18. Anlagen bei</w:t>
      </w:r>
    </w:p>
    <w:p>
      <w:pPr>
        <w:ind w:left="780"/>
      </w:pPr>
      <w:r>
        <w:t xml:space="preserve">a) der Europäischen Zentralbank oder bei der Zentralnotenbank eines Staates des EWR oder eines Vollmitgliedstaates der OECD,</w:t>
      </w:r>
    </w:p>
    <w:p>
      <w:pPr>
        <w:ind w:left="780"/>
      </w:pPr>
      <w:r>
        <w:t xml:space="preserve">b) einem Kreditinstitut mit Sitz in einem Staat des EWR, das den Anforderungen der Richtlinie 2013/36/EU des Europäischen Parlaments und des Rates vom 26. Juni 2013 über den Zugang zur Tätigkeit von Kreditinstituten und die Beaufsichtigung von Kreditinstituten und Wertpapierfirmen, zur Änderung der Richtlinie 2002/87/EG und zur Aufhebung der Richtlinien 2006/48/EG und 2006/49/EG (ABl. L 176 vom 27.6.2013, S. 338), die zuletzt durch die Richtlinie 2014/59/EU (ABl. L 173 vom 12.6.2014, S. 190) geändert worden ist, unterliegt, wenn das Kreditinstitut dem Pensionsfonds schriftlich bestätigt, dass es die an seinem Sitz geltenden Vorschriften über das Eigenkapital und die Liquidität der Kreditinstitute einhält (geeignetes Kreditinstitut),</w:t>
      </w:r>
    </w:p>
    <w:p>
      <w:pPr>
        <w:ind w:left="780"/>
      </w:pPr>
      <w:r>
        <w:t xml:space="preserve">c) öffentlich-rechtlichen Kreditinstituten, die nach Artikel 2 Absatz 5 der Richtlinie 2013/36/EU vom Geltungsbereich dieser Richtlinie ausgenommen sind,</w:t>
      </w:r>
    </w:p>
    <w:p>
      <w:pPr>
        <w:ind w:left="780"/>
      </w:pPr>
      <w:r>
        <w:t xml:space="preserve">d) multilateralen Entwicklungsbanken, die nach Artikel 117 Absatz 2 der Verordnung (EU) Nr. 575/2013 des Europäischen Parlaments und des Rates vom 26. Juni 2013 über Aufsichtsanforderungen an Kreditinstitute und Wertpapierfirmen und zur Änderung der Verordnung (EU) Nr. 646/2012 (ABl. L 176 vom 27.6.2013, S. 1), die zuletzt durch die Delegierte Verordnung (EU) 2015/62 (ABl. L 11 vom 17.1.2015, S. 37) geändert worden ist, ein Risikogewicht von 0 Prozent erhalten;</w:t>
      </w:r>
    </w:p>
    <w:p>
      <w:pPr>
        <w:ind w:left="420"/>
      </w:pPr>
      <w:r>
        <w:t xml:space="preserve">als Anlagen gelten auch laufende Guthaben.</w:t>
      </w:r>
    </w:p>
    <w:p>
      <w:r>
        <w:t xml:space="preserve">(2) Das Sicherungsvermögen kann darüber hinaus in Anlagen angelegt werden, die in Absatz 1 nicht genannt sind oder die Voraussetzungen nach Absatz 1 nicht erfüllen (Öffnungsklausel).</w:t>
      </w:r>
    </w:p>
    <w:p>
      <w:r>
        <w:t xml:space="preserve">(3) Die Aufsichtsbehörde kann auch Anlagen in Vermögenswerten, die in den vorangehenden Absätzen nicht genannt sind oder die Voraussetzungen der vorangehenden Absätze nicht erfüllen, sowie Überschreitungen der in § 18 Absatz 1 Satz 2 und § 19 Absatz 1 bis 4 genannten Begrenzungen gestatten, wenn</w:t>
      </w:r>
    </w:p>
    <w:p>
      <w:pPr>
        <w:ind w:left="420"/>
      </w:pPr>
      <w:r>
        <w:t xml:space="preserve">1. die Belange der Versorgungsanwärter und Versorgungsempfänger (Versorgungsberechtigte) dadurch nicht beeinträchtigt werden und</w:t>
      </w:r>
    </w:p>
    <w:p>
      <w:pPr>
        <w:ind w:left="420"/>
      </w:pPr>
      <w:r>
        <w:t xml:space="preserve">2. die Mitgliedstaaten diese Abweichungen zulassen können nach Artikel 19 der Richtlinie (EU) 2016/2341.</w:t>
      </w:r>
    </w:p>
    <w:p>
      <w:r>
        <w:t xml:space="preserve">(4) Nicht zulässig sind direkte und indirekte Anlagen</w:t>
      </w:r>
    </w:p>
    <w:p>
      <w:pPr>
        <w:ind w:left="420"/>
      </w:pPr>
      <w:r>
        <w:t xml:space="preserve">1. in Konsumentenkrediten, Betriebsmittelkrediten, beweglichen Sachen oder Ansprüchen auf bewegliche Sachen sowie in immateriellen Werten,</w:t>
      </w:r>
    </w:p>
    <w:p>
      <w:pPr>
        <w:ind w:left="420"/>
      </w:pPr>
      <w:r>
        <w:t xml:space="preserve">2. die gemäß Artikel 19 der Richtlinie (EU) 2016/2341 nicht zulässig sind,</w:t>
      </w:r>
    </w:p>
    <w:p>
      <w:pPr>
        <w:ind w:left="420"/>
      </w:pPr>
      <w:r>
        <w:t xml:space="preserve">3. in Beteiligungen bei Konzernunternehmen des Pensionsfonds im Sinne des § 18 des Aktiengesetzes mit Ausnahme von Anlagen nach Absatz 1 Nummer 5 sowie von Unternehmen, an denen der Pensionsfonds nur passiv beteiligt ist, ohne operativ auf das Geschäft Einfluss zu nehmen oder laufende Projektentwicklung zu betreiben, und</w:t>
      </w:r>
    </w:p>
    <w:p>
      <w:pPr>
        <w:ind w:left="420"/>
      </w:pPr>
      <w:r>
        <w:t xml:space="preserve">4. bei Unternehmen, auf die der Pensionsfonds oder seine Konzernunternehmen im Sinne des § 18 des Aktiengesetzes ihren Geschäftsbetrieb ganz oder teilweise im Wege der Ausgliederung (§ 7 Nummer 2 des Versicherungsaufsichtsgesetzes) von Funktionen übertragen hat oder die in unmittelbarem Zusammenhang mit dem Betrieb von Pensionsfondsgeschäften stehende Tätigkeiten für den Pensionsfonds oder seine Konzernunternehmen im Sinne des § 18 des Aktiengesetzes ausführen, wenn bei diesen Unternehmen der Umfang des Geschäftsbetriebes wesentlich vom Gegenstand der Ausgliederung von Funktionen oder der Dienstleistungstätigkeit bestimmt wird.</w:t>
      </w:r>
    </w:p>
    <w:p>
      <w:r>
        <w:rPr>
          <w:color w:val="555555"/>
          <w:sz w:val="17"/>
        </w:rPr>
        <w:t xml:space="preserve">Zitiervorschlag: § 17 PFAV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https://recht.nulegal.eu/gesetze/PFAV/17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