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PFAV — Reduzierung der Mindestzuführung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Mindestzuführung gemäß § 14 kann mit Zustimmung der Aufsichtsbehörde in Ausnahmefällen reduziert werden um</w:t>
      </w:r>
    </w:p>
    <w:p>
      <w:pPr>
        <w:ind w:left="420"/>
      </w:pPr>
      <w:r>
        <w:t xml:space="preserve">1. den Solvabilitätsbedarf für die überschussberechtigten Versorgungsverhältnisse,</w:t>
      </w:r>
    </w:p>
    <w:p>
      <w:pPr>
        <w:ind w:left="420"/>
      </w:pPr>
      <w:r>
        <w:t xml:space="preserve">2. unvorhersehbare Verluste aus dem Kapitalanlageergebnis, dem Risikoergebnis oder dem übrigen Ergebnis aus den überschussberechtigten Versorgungsverhältnissen, die auf eine allgemeine Änderung der Verhältnisse zurückzuführen sind, oder</w:t>
      </w:r>
    </w:p>
    <w:p>
      <w:pPr>
        <w:ind w:left="420"/>
      </w:pPr>
      <w:r>
        <w:t xml:space="preserve">3. den Erhöhungsbedarf in der Deckungsrückstellung, wenn die Rechnungsgrundlagen auf Grund einer unvorhersehbaren und nicht nur vorübergehenden Änderung der Verhältnisse angepasst werden müssen.</w:t>
      </w:r>
    </w:p>
    <w:p>
      <w:r>
        <w:t xml:space="preserve">(2) Die Mindestzuführung kann zur Deckung des Solvabilitätsbedarfs oder unvorhersehbarer Verluste aus dem Kapitalanlageergebnis nur bis auf den folgenden, als Formel dargestellten Betrag reduziert werden:</w:t>
      </w:r>
    </w:p>
    <w:p>
      <w:r>
        <w:rPr>
          <w:rFonts w:ascii="Courier New" w:hAnsi="Courier New"/>
          <w:sz w:val="17"/>
        </w:rPr>
        <w:t xml:space="preserve">aKE – Rz – Sv + RE + üE.</w:t>
      </w:r>
    </w:p>
    <w:p>
      <w:r>
        <w:t xml:space="preserve">Dabei sind:</w:t>
      </w:r>
    </w:p>
    <w:p>
      <w:pPr>
        <w:ind w:left="420"/>
      </w:pPr>
      <w:r>
        <w:t xml:space="preserve">aKE = die anzurechnenden Kapitalerträge,</w:t>
      </w:r>
    </w:p>
    <w:p>
      <w:pPr>
        <w:ind w:left="420"/>
      </w:pPr>
      <w:r>
        <w:t xml:space="preserve">Rz = die rechnungsmäßigen Zinsen ohne die anteilig auf die überschussberechtigten Versorgungsverhältnisse entfallenden Zinsen auf die Pensionsrückstellungen,</w:t>
      </w:r>
    </w:p>
    <w:p>
      <w:pPr>
        <w:ind w:left="420"/>
      </w:pPr>
      <w:r>
        <w:t xml:space="preserve">Sv = der zur Deckung des Solvabilitätsbedarfs erforderliche Betrag,</w:t>
      </w:r>
    </w:p>
    <w:p>
      <w:pPr>
        <w:ind w:left="420"/>
      </w:pPr>
      <w:r>
        <w:t xml:space="preserve">RE = das Risikoergebnis,</w:t>
      </w:r>
    </w:p>
    <w:p>
      <w:pPr>
        <w:ind w:left="420"/>
      </w:pPr>
      <w:r>
        <w:t xml:space="preserve">üE = das übrige Ergebnis.</w:t>
      </w:r>
    </w:p>
    <w:p>
      <w:r>
        <w:t xml:space="preserve">Das Risikoergebnis und das übrige Ergebnis sind dabei durch Null zu ersetzen, wenn sie negativ sind. Ergibt sich rechnerisch ein negativer Betrag, ist er durch Null zu ersetzen. § 139 Absatz 2 in Verbindung mit § 237 Absatz 1 Satz 1 des Versicherungsaufsichtsgesetzes bleibt unberührt.</w:t>
      </w:r>
    </w:p>
    <w:p>
      <w:r>
        <w:t xml:space="preserve">(3) Die Verpflichtung des Unternehmens zur Aufstellung eines Zuführungsplans wird durch eine Reduzierung der Mindestzuführung gemäß Absatz 1 grundsätzlich nicht berührt.</w:t>
      </w:r>
    </w:p>
    <w:p>
      <w:r>
        <w:rPr>
          <w:color w:val="555555"/>
          <w:sz w:val="17"/>
        </w:rPr>
        <w:t xml:space="preserve">Zitiervorschlag: § 15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