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PFAV — Anwendung der Formulare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Die auf den Formularen zu setzenden Kennzahlen ergeben sich aus Anlage 1.</w:t>
      </w:r>
    </w:p>
    <w:p>
      <w:r>
        <w:t xml:space="preserve">(2) Bei der Verwendung der Formulare sind die Anmerkungen und Abkürzungen aus Anlage 2, Abschnitte A und B, zu beachten.</w:t>
      </w:r>
    </w:p>
    <w:p>
      <w:r>
        <w:t xml:space="preserve">(3) Bei der Erstellung der Formulare ist Anlage 2 Abschnitt C zu beachten.</w:t>
      </w:r>
    </w:p>
    <w:p>
      <w:r>
        <w:t xml:space="preserve">(4) Für die zu verwendenden Formulare gelten die in Anlage 5 festgelegten Muster.</w:t>
      </w:r>
    </w:p>
    <w:p>
      <w:r>
        <w:rPr>
          <w:color w:val="555555"/>
          <w:sz w:val="17"/>
        </w:rPr>
        <w:t xml:space="preserve">Zitiervorschlag: § 12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