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PFAV — Sonstige Rechnungslegungsunterlagen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Pensionsfonds haben eine elektronische Fassung der folgenden sonstigen Rechnungslegungsunterlagen einzureichen:</w:t>
      </w:r>
    </w:p>
    <w:p>
      <w:pPr>
        <w:ind w:left="420"/>
      </w:pPr>
      <w:r>
        <w:t xml:space="preserve">1. jeweils unverzüglich nach der Aufstellung die in § 37 Absatz 1 des Versicherungsaufsichtsgesetzes bezeichneten Unterlagen mit den nach § 141 Absatz 5 Satz 1 Nummer 2 und § 128 Absatz 5 des Versicherungsaufsichtsgesetzes vorgeschriebenen Bestätigungen;</w:t>
      </w:r>
    </w:p>
    <w:p>
      <w:pPr>
        <w:ind w:left="420"/>
      </w:pPr>
      <w:r>
        <w:t xml:space="preserve">2. jeweils unverzüglich nach der Feststellung</w:t>
      </w:r>
    </w:p>
    <w:p>
      <w:pPr>
        <w:ind w:left="780"/>
      </w:pPr>
      <w:r>
        <w:t xml:space="preserve">a) den Geschäftsbericht, zumindest bestehend aus</w:t>
      </w:r>
    </w:p>
    <w:p>
      <w:pPr>
        <w:ind w:left="1140"/>
      </w:pPr>
      <w:r>
        <w:t xml:space="preserve">aa) den in § 37 Absatz 1 Satz 1 des Versicherungsaufsichtsgesetzes bezeichneten Unterlagen mit dem Bestätigungsvermerk oder dem Vermerk über seine Versagung gemäß § 322 des Handelsgesetzbuchs,</w:t>
      </w:r>
    </w:p>
    <w:p>
      <w:pPr>
        <w:ind w:left="1140"/>
      </w:pPr>
      <w:r>
        <w:t xml:space="preserve">bb) dem Vorschlag des Vorstands für die Verwendung des Bilanzgewinns gemäß § 170 Absatz 2 des Aktiengesetzes und</w:t>
      </w:r>
    </w:p>
    <w:p>
      <w:pPr>
        <w:ind w:left="1140"/>
      </w:pPr>
      <w:r>
        <w:t xml:space="preserve">cc) dem Bericht des Aufsichtsrats an die Hauptversammlung oder der dieser entsprechenden Versammlung der obersten Vertretung gemäß § 171 Absatz 2 des Aktiengesetzes einschließlich der Beschlüsse des Vorstands und des Aufsichtsrats gemäß § 172 Satz 2 des Aktiengesetzes sowie der Berichte und Erklärungen über die Ergebnisse der Prüfungen gemäß § 314 Absatz 2 und 3 des Aktiengesetzes,</w:t>
      </w:r>
    </w:p>
    <w:p>
      <w:pPr>
        <w:ind w:left="780"/>
      </w:pPr>
      <w:r>
        <w:t xml:space="preserve">b) den Bericht des Abschlussprüfers sowie die Bemerkungen des Vorstands und des Aufsichtsrats gemäß § 37 Absatz 5 Satz 1 des Versicherungsaufsichtsgesetzes, und</w:t>
      </w:r>
    </w:p>
    <w:p>
      <w:pPr>
        <w:ind w:left="780"/>
      </w:pPr>
      <w:r>
        <w:t xml:space="preserve">c) den Bericht des Abschlussprüfers zu dem Bericht des Vorstands über die Beziehungen zu verbundenen Unternehmen gemäß § 313 Absatz 2 bis 5 des Aktiengesetzes,</w:t>
      </w:r>
    </w:p>
    <w:p>
      <w:pPr>
        <w:ind w:left="420"/>
      </w:pPr>
      <w:r>
        <w:t xml:space="preserve">3. unverzüglich nach der Hauptversammlung oder der dieser entsprechenden Versammlung der obersten Vertretung</w:t>
      </w:r>
    </w:p>
    <w:p>
      <w:pPr>
        <w:ind w:left="780"/>
      </w:pPr>
      <w:r>
        <w:t xml:space="preserve">a) den endgültigen Geschäftsbericht gemäß Nummer 2 Buchstabe a in der Fassung, wie er der Hauptversammlung oder der dieser entsprechenden Versammlung der obersten Vertretung vorgelegt wurde,</w:t>
      </w:r>
    </w:p>
    <w:p>
      <w:pPr>
        <w:ind w:left="780"/>
      </w:pPr>
      <w:r>
        <w:t xml:space="preserve">b) den Konzernabschluss und den Konzernlagebericht gemäß den §§ 341i und 341j des Handelsgesetzbuchs,</w:t>
      </w:r>
    </w:p>
    <w:p>
      <w:pPr>
        <w:ind w:left="780"/>
      </w:pPr>
      <w:r>
        <w:t xml:space="preserve">c) den Bericht des Abschlussprüfers über die Prüfung des Konzernabschlusses und des Konzernlageberichts gemäß § 341k des Handelsgesetzbuchs</w:t>
      </w:r>
    </w:p>
    <w:p>
      <w:pPr>
        <w:ind w:left="420"/>
      </w:pPr>
      <w:r>
        <w:t xml:space="preserve">und</w:t>
      </w:r>
    </w:p>
    <w:p>
      <w:pPr>
        <w:ind w:left="420"/>
      </w:pPr>
      <w:r>
        <w:t xml:space="preserve">4. spätestens sieben Monate nach Ende des Geschäftsjahres ein versicherungsmathematisches Gutachten über den Einfluss der wesentlichen Gewinn-und Verlustquellen auf das Bilanzergebnis und über die wesentlichen versicherungsmathematischen Annahmen, die der Berechnung der pensionsfondstechnischen Rückstellungen zugrunde liegen; die Aufsichtsbehörde bestimmt die Einzelheiten zum versicherungsmathematischen Gutachten.</w:t>
      </w:r>
    </w:p>
    <w:p>
      <w:r>
        <w:t xml:space="preserve">Der Vermerk im Sinne des Satzes 1 Nummer 2 Buchstabe a Doppelbuchstabe aa sowie die Berichte des Satzes 1 Nummer 2 Buchstabe b und c sowie Nummer 3 Buchstabe c sind mit qualifizierter elektronischer Signatur des Abschlussprüfers einzureichen.</w:t>
      </w:r>
    </w:p>
    <w:p>
      <w:r>
        <w:t xml:space="preserve">(2) Das Original des Geschäftsberichts gemäß Absatz 1 Satz 1 Nummer 3 Buchstabe a ist vom Vorstand, vom Verantwortlichen Aktuar und vom Treuhänder im Sinne des § 128 Absatz 1 des Versicherungsaufsichtsgesetzes handschriftlich zu unterzeichnen. In dem Original des Geschäftsberichts ist ferner vom Aufsichtsrat der Bericht des Aufsichtsrats handschriftlich zu unterzeichnen. Die handschriftliche Unterzeichnung nach Satz 1 und 2 kann durch eine elektronische Form nach § 126a des Bürgerlichen Gesetzbuches ersetzt werden. Für die an die Bundesanstalt zu übermittelnde elektronische Fassung ist ausreichend, wenn erkennbar ist, wer das Dokument im Original unterzeichnet hat.</w:t>
      </w:r>
    </w:p>
    <w:p>
      <w:r>
        <w:rPr>
          <w:color w:val="555555"/>
          <w:sz w:val="17"/>
        </w:rPr>
        <w:t xml:space="preserve">Zitiervorschlag: § 10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