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PEntgV — Beteiligungsrechte</w:t>
      </w:r>
    </w:p>
    <w:p>
      <w:r>
        <w:rPr>
          <w:color w:val="555555"/>
          <w:sz w:val="18"/>
        </w:rPr>
        <w:t xml:space="preserve">Post-Entgeltregulierungsverordnung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(1) Die Regulierungsbehörde veröffentlicht beabsichtigte Entscheidungen zur Zusammenfassung von Dienstleistungen nach § 1 Abs. 2 sowie zur Vorgabe der jeweiligen Maßgrößen nach § 4 in ihrem Amtsblatt und auf ihrer Internetseite. Vor der Veröffentlichung nach Satz 1 soll sie dem Unternehmen, an das sich die Entscheidung richtet, Gelegenheit zur Stellungnahme geben.</w:t>
      </w:r>
    </w:p>
    <w:p>
      <w:r>
        <w:t xml:space="preserve">(2) Bei Entgeltanträgen nach § 21 Abs. 1 Nr. 1 des Gesetzes veröffentlicht die Regulierungsbehörde die beantragten Entgelte in ihrem Amtsblatt und auf ihrer Internetseite.</w:t>
      </w:r>
    </w:p>
    <w:p>
      <w:r>
        <w:rPr>
          <w:color w:val="555555"/>
          <w:sz w:val="17"/>
        </w:rPr>
        <w:t xml:space="preserve">Zitiervorschlag: § 8 PEntgV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https://recht.nulegal.eu/gesetze/PEntgV/8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