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PEntgV — Genehmigungsvoraussetzungen für Entgelte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Mit einem Entgeltantrag nach § 21 Abs. 1 Nr. 2 des Gesetzes hat das beantragende Unternehmen diejenigen Unterlagen vorzulegen, die es der Regulierungsbehörde ermöglichen, die Einhaltung der nach § 4 vorgegebenen Maßgrößen zu überprüfen. Diese Unterlagen müssen Angaben über die anteiligen Umsätze jeder Entgeltposition für den von der Regulierungsbehörde nach § 4 Abs. 5 festgelegten Referenzzeitraum enthalten.</w:t>
      </w:r>
    </w:p>
    <w:p>
      <w:r>
        <w:t xml:space="preserve">(2) Die Regulierungsbehörde kann einen Entgeltantrag ablehnen, wenn das Unternehmen die in Absatz 1 genannten Unterlagen nicht vollständig vorlegt.</w:t>
      </w:r>
    </w:p>
    <w:p>
      <w:r>
        <w:t xml:space="preserve">(3) Sofern die nach § 4 vorgegebenen Maßgrößen eingehalten werden, soll die Regulierungsbehörde die Genehmigung für einen Entgeltantrag im Rahmen der Entgeltgenehmigung nach § 21 Abs. 1 Nr. 2 des Gesetzes innerhalb von zwei Wochen erteilen.</w:t>
      </w:r>
    </w:p>
    <w:p>
      <w:r>
        <w:rPr>
          <w:color w:val="555555"/>
          <w:sz w:val="17"/>
        </w:rPr>
        <w:t xml:space="preserve">Zitiervorschlag: § 5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