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PEntgV — Maßstäbe zur Ermittlung genehmigungsfähiger Entgelte</w:t>
      </w:r>
    </w:p>
    <w:p>
      <w:r>
        <w:rPr>
          <w:color w:val="555555"/>
          <w:sz w:val="18"/>
        </w:rPr>
        <w:t xml:space="preserve">Post-Entgeltregulierungsverordnung</w:t>
      </w:r>
    </w:p>
    <w:p>
      <w:r>
        <w:rPr>
          <w:color w:val="555555"/>
          <w:sz w:val="18"/>
        </w:rPr>
        <w:t xml:space="preserve">Historische Fassung: Stand 18.03.2021 bis 19.07.2024. Dies ist nicht die aktuelle Fassung.</w:t>
      </w:r>
    </w:p>
    <w:p>
      <w:r>
        <w:t xml:space="preserve">(1) Die Regulierungsbehörde hat die vom beantragenden Unternehmen vorgelegten Nachweise dahin gehend zu prüfen, ob und inwieweit die beantragten Entgelte sich an den Kosten der effizienten Leistungsbereitstellung im Sinne des § 20 Absatz 2 des Gesetzes orientieren und den Anforderungen nach § 20 Absatz 3 des Gesetzes entsprechen. Bei der Prüfung der Effizienz der Leistungsbereitstellung werden die Entscheidungen des Unternehmens bezüglich seines Dienstleistungsangebots berücksichtigt.</w:t>
      </w:r>
    </w:p>
    <w:p>
      <w:r>
        <w:t xml:space="preserve">(2) Im Rahmen des Absatzes 1 prüft die Regulierungsbehörde insbesondere, ob bei der Ermittlung, Berechnung und Zuordnung der Kosten des beantragenden Unternehmens allgemein anerkannte betriebswirtschaftliche Grundsätze zugrunde liegen. Im Übrigen kann die Regulierungsbehörde Preise solcher Unternehmen als Vergleich heranziehen, die entsprechende Leistungen auf vergleichbaren Märkten im Wettbewerb anbieten. Dabei sind die Besonderheiten der Vergleichsmärkte zu berücksichtigen.</w:t>
      </w:r>
    </w:p>
    <w:p>
      <w:r>
        <w:t xml:space="preserve">(3) Die Regulierungsbehörde kann Entgeltermäßigungen oder Entgeltbefreiungen auch aus sozialen Gründen als sachlich gerechtfertigten Grund im Sinne des § 20 Absatz 3 des Gesetzes anerkennen.</w:t>
      </w:r>
    </w:p>
    <w:p>
      <w:r>
        <w:rPr>
          <w:color w:val="555555"/>
          <w:sz w:val="17"/>
        </w:rPr>
        <w:t xml:space="preserve">Zitiervorschlag: § 3 PEntgV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https://recht.nulegal.eu/gesetze/PEntgV/3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